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29" w:rsidRPr="001A14EA" w:rsidRDefault="00653229" w:rsidP="0065322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A14EA">
        <w:rPr>
          <w:rFonts w:ascii="Arial" w:hAnsi="Arial" w:cs="Arial"/>
          <w:b/>
          <w:sz w:val="32"/>
          <w:szCs w:val="32"/>
          <w:u w:val="single"/>
        </w:rPr>
        <w:t>Agencies and Sponsors Following the PHS FCOI Regulations</w:t>
      </w:r>
    </w:p>
    <w:p w:rsidR="00653229" w:rsidRDefault="00653229" w:rsidP="00653229">
      <w:p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Below is a list of federal agencies that are part of the U.S. Public Health Service (PHS) and that require compliance with the PHS FCOI requirement for </w:t>
      </w:r>
      <w:r>
        <w:rPr>
          <w:rFonts w:ascii="Arial" w:hAnsi="Arial" w:cs="Arial"/>
          <w:sz w:val="24"/>
          <w:szCs w:val="24"/>
        </w:rPr>
        <w:t>grants and contracts.</w:t>
      </w:r>
    </w:p>
    <w:p w:rsidR="00653229" w:rsidRPr="00653229" w:rsidRDefault="00653229" w:rsidP="00653229">
      <w:pPr>
        <w:rPr>
          <w:rFonts w:ascii="Arial" w:hAnsi="Arial" w:cs="Arial"/>
          <w:b/>
          <w:bCs/>
          <w:sz w:val="24"/>
          <w:szCs w:val="24"/>
        </w:rPr>
      </w:pPr>
      <w:r w:rsidRPr="00653229">
        <w:rPr>
          <w:rFonts w:ascii="Arial" w:hAnsi="Arial" w:cs="Arial"/>
          <w:b/>
          <w:bCs/>
          <w:sz w:val="24"/>
          <w:szCs w:val="24"/>
        </w:rPr>
        <w:t>Public Health Service (PHS) Agencies</w:t>
      </w:r>
    </w:p>
    <w:p w:rsidR="00653229" w:rsidRPr="00653229" w:rsidRDefault="00653229" w:rsidP="0065322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Office of Global Affairs (OG)</w:t>
      </w:r>
    </w:p>
    <w:p w:rsidR="00653229" w:rsidRPr="00653229" w:rsidRDefault="00653229" w:rsidP="0065322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Office of the Assistant Secretary for Health (OASH)</w:t>
      </w:r>
    </w:p>
    <w:p w:rsidR="00653229" w:rsidRPr="00653229" w:rsidRDefault="00653229" w:rsidP="0065322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Office of the Assistant Secretary for Preparedness and Response (ASPR)</w:t>
      </w:r>
    </w:p>
    <w:p w:rsidR="00653229" w:rsidRPr="00653229" w:rsidRDefault="00653229" w:rsidP="0065322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Agency for Health Care Research &amp; Quality (AHRQ)</w:t>
      </w:r>
      <w:bookmarkStart w:id="0" w:name="_GoBack"/>
      <w:bookmarkEnd w:id="0"/>
    </w:p>
    <w:p w:rsidR="00653229" w:rsidRPr="00653229" w:rsidRDefault="00653229" w:rsidP="0065322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Agency for Toxic Substances and Disease Registry (ATSDR)</w:t>
      </w:r>
    </w:p>
    <w:p w:rsidR="00653229" w:rsidRPr="00653229" w:rsidRDefault="00653229" w:rsidP="0065322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Centers for Disease Control and Prevention (CDC)</w:t>
      </w:r>
    </w:p>
    <w:p w:rsidR="00653229" w:rsidRPr="00653229" w:rsidRDefault="00653229" w:rsidP="0065322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Food and Drug Administration (FDA)</w:t>
      </w:r>
    </w:p>
    <w:p w:rsidR="00653229" w:rsidRPr="00653229" w:rsidRDefault="00653229" w:rsidP="0065322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Health Resources and Services Administration (HRSA)</w:t>
      </w:r>
    </w:p>
    <w:p w:rsidR="00653229" w:rsidRPr="00653229" w:rsidRDefault="00653229" w:rsidP="0065322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Indian Health Service (IHS)</w:t>
      </w:r>
    </w:p>
    <w:p w:rsidR="00653229" w:rsidRPr="00653229" w:rsidRDefault="00653229" w:rsidP="0065322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National Institutes of Health (NIH)</w:t>
      </w:r>
    </w:p>
    <w:p w:rsidR="00653229" w:rsidRPr="00653229" w:rsidRDefault="00653229" w:rsidP="0065322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Substance Abuse and Mental Health Services Administration (SAMHSA)</w:t>
      </w:r>
    </w:p>
    <w:p w:rsidR="00653229" w:rsidRPr="00653229" w:rsidRDefault="00653229" w:rsidP="00653229">
      <w:pPr>
        <w:rPr>
          <w:rFonts w:ascii="Arial" w:hAnsi="Arial" w:cs="Arial"/>
          <w:b/>
          <w:bCs/>
          <w:sz w:val="24"/>
          <w:szCs w:val="24"/>
        </w:rPr>
      </w:pPr>
      <w:r w:rsidRPr="00653229">
        <w:rPr>
          <w:rFonts w:ascii="Arial" w:hAnsi="Arial" w:cs="Arial"/>
          <w:b/>
          <w:bCs/>
          <w:sz w:val="24"/>
          <w:szCs w:val="24"/>
        </w:rPr>
        <w:t>Private Sponsors</w:t>
      </w:r>
    </w:p>
    <w:p w:rsidR="00653229" w:rsidRPr="00653229" w:rsidRDefault="00653229" w:rsidP="00653229">
      <w:p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 xml:space="preserve">Provided below is a list of private sponsors that have adopted the PHS FCOI regulations.  </w:t>
      </w:r>
    </w:p>
    <w:p w:rsidR="00653229" w:rsidRPr="00653229" w:rsidRDefault="00653229" w:rsidP="0065322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Alliance for Lupus Research (ALR)</w:t>
      </w:r>
    </w:p>
    <w:p w:rsidR="00653229" w:rsidRPr="00653229" w:rsidRDefault="00653229" w:rsidP="0065322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American Asthma Foundation</w:t>
      </w:r>
    </w:p>
    <w:p w:rsidR="00653229" w:rsidRPr="00653229" w:rsidRDefault="00653229" w:rsidP="0065322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American Cancer Society (ACS)</w:t>
      </w:r>
    </w:p>
    <w:p w:rsidR="00653229" w:rsidRPr="00653229" w:rsidRDefault="00653229" w:rsidP="0065322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American Heart Association (AHA)</w:t>
      </w:r>
    </w:p>
    <w:p w:rsidR="00653229" w:rsidRPr="00653229" w:rsidRDefault="00653229" w:rsidP="0065322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American Lung Association (ALA)</w:t>
      </w:r>
    </w:p>
    <w:p w:rsidR="00653229" w:rsidRPr="00653229" w:rsidRDefault="00653229" w:rsidP="0065322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Arthritis Foundation (AF)</w:t>
      </w:r>
    </w:p>
    <w:p w:rsidR="00653229" w:rsidRPr="00653229" w:rsidRDefault="00653229" w:rsidP="0065322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653229">
        <w:rPr>
          <w:rFonts w:ascii="Arial" w:hAnsi="Arial" w:cs="Arial"/>
          <w:sz w:val="24"/>
          <w:szCs w:val="24"/>
        </w:rPr>
        <w:t>CurePSP</w:t>
      </w:r>
      <w:proofErr w:type="spellEnd"/>
    </w:p>
    <w:p w:rsidR="00653229" w:rsidRPr="00653229" w:rsidRDefault="00653229" w:rsidP="0065322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Juvenile Diabetes Research Foundation (JDRF)</w:t>
      </w:r>
    </w:p>
    <w:p w:rsidR="00653229" w:rsidRPr="00653229" w:rsidRDefault="00653229" w:rsidP="0065322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Lupus Foundation of America (LFA)</w:t>
      </w:r>
    </w:p>
    <w:p w:rsidR="00653229" w:rsidRPr="00653229" w:rsidRDefault="00653229" w:rsidP="0065322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Patient-Centered Outcomes Research Institute (PCORI)</w:t>
      </w:r>
    </w:p>
    <w:p w:rsidR="00653229" w:rsidRPr="00680987" w:rsidRDefault="00653229" w:rsidP="00BF2885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3229">
        <w:rPr>
          <w:rFonts w:ascii="Arial" w:hAnsi="Arial" w:cs="Arial"/>
          <w:sz w:val="24"/>
          <w:szCs w:val="24"/>
        </w:rPr>
        <w:t>Susan G. Komen for the Cure</w:t>
      </w:r>
    </w:p>
    <w:sectPr w:rsidR="00653229" w:rsidRPr="00680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7553"/>
    <w:multiLevelType w:val="multilevel"/>
    <w:tmpl w:val="A4BC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E6C94"/>
    <w:multiLevelType w:val="multilevel"/>
    <w:tmpl w:val="7AFA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701D8"/>
    <w:multiLevelType w:val="multilevel"/>
    <w:tmpl w:val="C3CA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0NDezNDQ3MDc2MzdT0lEKTi0uzszPAykwqgUAgbqONiwAAAA="/>
  </w:docVars>
  <w:rsids>
    <w:rsidRoot w:val="00BF2885"/>
    <w:rsid w:val="00030431"/>
    <w:rsid w:val="001A14EA"/>
    <w:rsid w:val="00242AD9"/>
    <w:rsid w:val="00653229"/>
    <w:rsid w:val="00680987"/>
    <w:rsid w:val="00814473"/>
    <w:rsid w:val="00A30D9D"/>
    <w:rsid w:val="00B93699"/>
    <w:rsid w:val="00B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8BBE7-250C-4EE4-A603-362FDFE8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2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8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8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F288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22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8119">
                              <w:marLeft w:val="0"/>
                              <w:marRight w:val="-170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Bagdasarov</dc:creator>
  <cp:keywords/>
  <dc:description/>
  <cp:lastModifiedBy>Svetlana Bagdasarov</cp:lastModifiedBy>
  <cp:revision>2</cp:revision>
  <cp:lastPrinted>2018-11-09T01:04:00Z</cp:lastPrinted>
  <dcterms:created xsi:type="dcterms:W3CDTF">2018-11-09T01:07:00Z</dcterms:created>
  <dcterms:modified xsi:type="dcterms:W3CDTF">2018-11-09T01:07:00Z</dcterms:modified>
</cp:coreProperties>
</file>