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4B4" w:rsidRPr="00012BC6" w:rsidRDefault="00724FA3" w:rsidP="00012BC6">
      <w:pPr>
        <w:jc w:val="center"/>
        <w:rPr>
          <w:rFonts w:ascii="Times New Roman" w:hAnsi="Times New Roman" w:cs="Times New Roman"/>
          <w:sz w:val="32"/>
          <w:szCs w:val="32"/>
        </w:rPr>
      </w:pPr>
      <w:r w:rsidRPr="00012BC6">
        <w:rPr>
          <w:rFonts w:ascii="Times New Roman" w:hAnsi="Times New Roman" w:cs="Times New Roman"/>
          <w:sz w:val="32"/>
          <w:szCs w:val="32"/>
        </w:rPr>
        <w:t>Com</w:t>
      </w:r>
      <w:r w:rsidR="00CB177D" w:rsidRPr="00012BC6">
        <w:rPr>
          <w:rFonts w:ascii="Times New Roman" w:hAnsi="Times New Roman" w:cs="Times New Roman"/>
          <w:sz w:val="32"/>
          <w:szCs w:val="32"/>
        </w:rPr>
        <w:t>prehens</w:t>
      </w:r>
      <w:r w:rsidRPr="00012BC6">
        <w:rPr>
          <w:rFonts w:ascii="Times New Roman" w:hAnsi="Times New Roman" w:cs="Times New Roman"/>
          <w:sz w:val="32"/>
          <w:szCs w:val="32"/>
        </w:rPr>
        <w:t>ive Core Competency Assessment Plan</w:t>
      </w:r>
      <w:r w:rsidR="00CB177D" w:rsidRPr="00012BC6">
        <w:rPr>
          <w:rFonts w:ascii="Times New Roman" w:hAnsi="Times New Roman" w:cs="Times New Roman"/>
          <w:sz w:val="32"/>
          <w:szCs w:val="32"/>
        </w:rPr>
        <w:t xml:space="preserve"> at Fresno State</w:t>
      </w:r>
    </w:p>
    <w:p w:rsidR="00724FA3" w:rsidRDefault="00724FA3"/>
    <w:p w:rsidR="00724FA3" w:rsidRPr="00615804" w:rsidRDefault="00724FA3">
      <w:pPr>
        <w:rPr>
          <w:rFonts w:ascii="Times New Roman" w:hAnsi="Times New Roman" w:cs="Times New Roman"/>
          <w:b/>
          <w:sz w:val="24"/>
          <w:szCs w:val="24"/>
        </w:rPr>
      </w:pPr>
      <w:r w:rsidRPr="00615804">
        <w:rPr>
          <w:rFonts w:ascii="Times New Roman" w:hAnsi="Times New Roman" w:cs="Times New Roman"/>
          <w:b/>
          <w:sz w:val="24"/>
          <w:szCs w:val="24"/>
        </w:rPr>
        <w:t>Background and Approach:</w:t>
      </w:r>
    </w:p>
    <w:p w:rsidR="00916F6E" w:rsidRDefault="00724FA3">
      <w:pPr>
        <w:rPr>
          <w:rFonts w:ascii="Times New Roman" w:hAnsi="Times New Roman" w:cs="Times New Roman"/>
        </w:rPr>
      </w:pPr>
      <w:r w:rsidRPr="00012BC6">
        <w:rPr>
          <w:rFonts w:ascii="Times New Roman" w:hAnsi="Times New Roman" w:cs="Times New Roman"/>
        </w:rPr>
        <w:t>Dr. Melissa Jordine, the Director of Assessment at Fresno State, completed the WASC Assessment Leadership Academy in 2014-2015 (cohort V) and conducted an initial pilot study on critical thinking by creating an ad hoc committee that operated at the university level. Fresno State then extensively discussed whether assessment of the core competencies should continue to be carried out campus-wide in a centralized system or if primarily responsibility for evaluating and reporting on the core competencie</w:t>
      </w:r>
      <w:r w:rsidR="00CB177D" w:rsidRPr="00012BC6">
        <w:rPr>
          <w:rFonts w:ascii="Times New Roman" w:hAnsi="Times New Roman" w:cs="Times New Roman"/>
        </w:rPr>
        <w:t>s should be carried out at the d</w:t>
      </w:r>
      <w:r w:rsidRPr="00012BC6">
        <w:rPr>
          <w:rFonts w:ascii="Times New Roman" w:hAnsi="Times New Roman" w:cs="Times New Roman"/>
        </w:rPr>
        <w:t>epa</w:t>
      </w:r>
      <w:r w:rsidR="00CB177D" w:rsidRPr="00012BC6">
        <w:rPr>
          <w:rFonts w:ascii="Times New Roman" w:hAnsi="Times New Roman" w:cs="Times New Roman"/>
        </w:rPr>
        <w:t>rtment/p</w:t>
      </w:r>
      <w:r w:rsidRPr="00012BC6">
        <w:rPr>
          <w:rFonts w:ascii="Times New Roman" w:hAnsi="Times New Roman" w:cs="Times New Roman"/>
        </w:rPr>
        <w:t>rogram level. After considerable discussion and debate, Fresno State decided that a decentralized approach placing primarily responsibility for assessing the five core competencies was problematic in part due to the fact that there was the need to further develop and advance assessment efforts at the department and program level. Workshops and forums were held and information about the core competencies was disseminated and a collective effort to integrate these core ski</w:t>
      </w:r>
      <w:r w:rsidR="00CB177D" w:rsidRPr="00012BC6">
        <w:rPr>
          <w:rFonts w:ascii="Times New Roman" w:hAnsi="Times New Roman" w:cs="Times New Roman"/>
        </w:rPr>
        <w:t>lls into department/p</w:t>
      </w:r>
      <w:r w:rsidRPr="00012BC6">
        <w:rPr>
          <w:rFonts w:ascii="Times New Roman" w:hAnsi="Times New Roman" w:cs="Times New Roman"/>
        </w:rPr>
        <w:t xml:space="preserve">rogram Student Outcome Assessment Plans (SOAPs) and to establish two key outcomes for each competencies </w:t>
      </w:r>
      <w:r w:rsidR="00CB177D" w:rsidRPr="00012BC6">
        <w:rPr>
          <w:rFonts w:ascii="Times New Roman" w:hAnsi="Times New Roman" w:cs="Times New Roman"/>
        </w:rPr>
        <w:t xml:space="preserve">was carried out. Every undergraduate department/program at Fresno State reviewed or revised their SOAP to explicitly state the three core competencies that are most closely aligned with their program and all departments/programs understand that it is expected that all five core competencies must be reinforced or advanced by the major curriculum. </w:t>
      </w:r>
      <w:r w:rsidR="008034D9" w:rsidRPr="00012BC6">
        <w:rPr>
          <w:rFonts w:ascii="Times New Roman" w:hAnsi="Times New Roman" w:cs="Times New Roman"/>
        </w:rPr>
        <w:t>Fresno State has created five ad hoc committees that are primarily responsible for evaluating the core competencies</w:t>
      </w:r>
      <w:r w:rsidR="00CE5302" w:rsidRPr="00012BC6">
        <w:rPr>
          <w:rFonts w:ascii="Times New Roman" w:hAnsi="Times New Roman" w:cs="Times New Roman"/>
        </w:rPr>
        <w:t xml:space="preserve"> and</w:t>
      </w:r>
      <w:r w:rsidR="00B57374" w:rsidRPr="00012BC6">
        <w:rPr>
          <w:rFonts w:ascii="Times New Roman" w:hAnsi="Times New Roman" w:cs="Times New Roman"/>
        </w:rPr>
        <w:t xml:space="preserve"> these committees cease to exist</w:t>
      </w:r>
      <w:r w:rsidR="008034D9" w:rsidRPr="00012BC6">
        <w:rPr>
          <w:rFonts w:ascii="Times New Roman" w:hAnsi="Times New Roman" w:cs="Times New Roman"/>
        </w:rPr>
        <w:t xml:space="preserve"> after a core competency is evaluated and </w:t>
      </w:r>
      <w:r w:rsidR="00B57374" w:rsidRPr="00012BC6">
        <w:rPr>
          <w:rFonts w:ascii="Times New Roman" w:hAnsi="Times New Roman" w:cs="Times New Roman"/>
        </w:rPr>
        <w:t xml:space="preserve">are </w:t>
      </w:r>
      <w:r w:rsidR="008034D9" w:rsidRPr="00012BC6">
        <w:rPr>
          <w:rFonts w:ascii="Times New Roman" w:hAnsi="Times New Roman" w:cs="Times New Roman"/>
        </w:rPr>
        <w:t>reconstituted with different faculty serving. Moreover, each committee works directly with faculty and departments/programs across all seven colleges</w:t>
      </w:r>
      <w:r w:rsidR="008E7F02" w:rsidRPr="00012BC6">
        <w:rPr>
          <w:rFonts w:ascii="Times New Roman" w:hAnsi="Times New Roman" w:cs="Times New Roman"/>
        </w:rPr>
        <w:t>.</w:t>
      </w:r>
      <w:r w:rsidR="008E7F02" w:rsidRPr="00012BC6">
        <w:rPr>
          <w:rStyle w:val="FootnoteReference"/>
          <w:rFonts w:ascii="Times New Roman" w:hAnsi="Times New Roman" w:cs="Times New Roman"/>
        </w:rPr>
        <w:footnoteReference w:id="1"/>
      </w:r>
      <w:r w:rsidR="00CE5302" w:rsidRPr="00012BC6">
        <w:rPr>
          <w:rFonts w:ascii="Times New Roman" w:hAnsi="Times New Roman" w:cs="Times New Roman"/>
        </w:rPr>
        <w:t xml:space="preserve"> College Assessment Coordinators Chair and serve on all of the core competency committees and provide continuity and experience. Common rubrics and scoring mechanisms are used after an extensive norming process with committee members</w:t>
      </w:r>
      <w:r w:rsidR="00615804">
        <w:rPr>
          <w:rFonts w:ascii="Times New Roman" w:hAnsi="Times New Roman" w:cs="Times New Roman"/>
        </w:rPr>
        <w:t>.</w:t>
      </w:r>
    </w:p>
    <w:p w:rsidR="00615804" w:rsidRPr="00012BC6" w:rsidRDefault="00615804">
      <w:pPr>
        <w:rPr>
          <w:rFonts w:ascii="Times New Roman" w:hAnsi="Times New Roman" w:cs="Times New Roman"/>
        </w:rPr>
      </w:pPr>
    </w:p>
    <w:p w:rsidR="009C37AA" w:rsidRPr="00615804" w:rsidRDefault="008034D9">
      <w:pPr>
        <w:rPr>
          <w:rFonts w:ascii="Times New Roman" w:hAnsi="Times New Roman" w:cs="Times New Roman"/>
          <w:b/>
          <w:sz w:val="24"/>
          <w:szCs w:val="24"/>
        </w:rPr>
      </w:pPr>
      <w:r w:rsidRPr="00615804">
        <w:rPr>
          <w:rFonts w:ascii="Times New Roman" w:hAnsi="Times New Roman" w:cs="Times New Roman"/>
          <w:b/>
          <w:sz w:val="24"/>
          <w:szCs w:val="24"/>
        </w:rPr>
        <w:t>Core c</w:t>
      </w:r>
      <w:r w:rsidR="009C37AA" w:rsidRPr="00615804">
        <w:rPr>
          <w:rFonts w:ascii="Times New Roman" w:hAnsi="Times New Roman" w:cs="Times New Roman"/>
          <w:b/>
          <w:sz w:val="24"/>
          <w:szCs w:val="24"/>
        </w:rPr>
        <w:t>ompetencies and outcomes:</w:t>
      </w:r>
    </w:p>
    <w:tbl>
      <w:tblPr>
        <w:tblStyle w:val="TableGrid"/>
        <w:tblW w:w="0" w:type="auto"/>
        <w:tblLook w:val="04A0" w:firstRow="1" w:lastRow="0" w:firstColumn="1" w:lastColumn="0" w:noHBand="0" w:noVBand="1"/>
      </w:tblPr>
      <w:tblGrid>
        <w:gridCol w:w="1680"/>
        <w:gridCol w:w="1658"/>
        <w:gridCol w:w="1551"/>
        <w:gridCol w:w="1556"/>
        <w:gridCol w:w="1304"/>
        <w:gridCol w:w="1601"/>
      </w:tblGrid>
      <w:tr w:rsidR="007B42EC" w:rsidRPr="00012BC6" w:rsidTr="009C37AA">
        <w:tc>
          <w:tcPr>
            <w:tcW w:w="1683" w:type="dxa"/>
          </w:tcPr>
          <w:p w:rsidR="009C37AA" w:rsidRPr="00012BC6" w:rsidRDefault="009C37AA">
            <w:pPr>
              <w:rPr>
                <w:rFonts w:ascii="Times New Roman" w:hAnsi="Times New Roman" w:cs="Times New Roman"/>
              </w:rPr>
            </w:pPr>
            <w:r w:rsidRPr="00012BC6">
              <w:rPr>
                <w:rFonts w:ascii="Times New Roman" w:hAnsi="Times New Roman" w:cs="Times New Roman"/>
              </w:rPr>
              <w:t>Competency</w:t>
            </w:r>
          </w:p>
        </w:tc>
        <w:tc>
          <w:tcPr>
            <w:tcW w:w="1577" w:type="dxa"/>
          </w:tcPr>
          <w:p w:rsidR="009C37AA" w:rsidRPr="00012BC6" w:rsidRDefault="009C37AA">
            <w:pPr>
              <w:rPr>
                <w:rFonts w:ascii="Times New Roman" w:hAnsi="Times New Roman" w:cs="Times New Roman"/>
              </w:rPr>
            </w:pPr>
            <w:r w:rsidRPr="00012BC6">
              <w:rPr>
                <w:rFonts w:ascii="Times New Roman" w:hAnsi="Times New Roman" w:cs="Times New Roman"/>
              </w:rPr>
              <w:t>Outcome 1</w:t>
            </w:r>
          </w:p>
        </w:tc>
        <w:tc>
          <w:tcPr>
            <w:tcW w:w="1577" w:type="dxa"/>
          </w:tcPr>
          <w:p w:rsidR="009C37AA" w:rsidRPr="00012BC6" w:rsidRDefault="009C37AA">
            <w:pPr>
              <w:rPr>
                <w:rFonts w:ascii="Times New Roman" w:hAnsi="Times New Roman" w:cs="Times New Roman"/>
              </w:rPr>
            </w:pPr>
            <w:r w:rsidRPr="00012BC6">
              <w:rPr>
                <w:rFonts w:ascii="Times New Roman" w:hAnsi="Times New Roman" w:cs="Times New Roman"/>
              </w:rPr>
              <w:t>Outcome 2</w:t>
            </w:r>
          </w:p>
        </w:tc>
        <w:tc>
          <w:tcPr>
            <w:tcW w:w="1596" w:type="dxa"/>
          </w:tcPr>
          <w:p w:rsidR="009C37AA" w:rsidRPr="00012BC6" w:rsidRDefault="009C37AA">
            <w:pPr>
              <w:rPr>
                <w:rFonts w:ascii="Times New Roman" w:hAnsi="Times New Roman" w:cs="Times New Roman"/>
              </w:rPr>
            </w:pPr>
            <w:r w:rsidRPr="00012BC6">
              <w:rPr>
                <w:rFonts w:ascii="Times New Roman" w:hAnsi="Times New Roman" w:cs="Times New Roman"/>
              </w:rPr>
              <w:t>Year Evaluated</w:t>
            </w:r>
          </w:p>
        </w:tc>
        <w:tc>
          <w:tcPr>
            <w:tcW w:w="1284" w:type="dxa"/>
          </w:tcPr>
          <w:p w:rsidR="009C37AA" w:rsidRPr="00012BC6" w:rsidRDefault="009C37AA">
            <w:pPr>
              <w:rPr>
                <w:rFonts w:ascii="Times New Roman" w:hAnsi="Times New Roman" w:cs="Times New Roman"/>
              </w:rPr>
            </w:pPr>
            <w:r w:rsidRPr="00012BC6">
              <w:rPr>
                <w:rFonts w:ascii="Times New Roman" w:hAnsi="Times New Roman" w:cs="Times New Roman"/>
              </w:rPr>
              <w:t xml:space="preserve">Measure </w:t>
            </w:r>
          </w:p>
        </w:tc>
        <w:tc>
          <w:tcPr>
            <w:tcW w:w="1633" w:type="dxa"/>
          </w:tcPr>
          <w:p w:rsidR="009C37AA" w:rsidRPr="00012BC6" w:rsidRDefault="009C37AA">
            <w:pPr>
              <w:rPr>
                <w:rFonts w:ascii="Times New Roman" w:hAnsi="Times New Roman" w:cs="Times New Roman"/>
              </w:rPr>
            </w:pPr>
            <w:r w:rsidRPr="00012BC6">
              <w:rPr>
                <w:rFonts w:ascii="Times New Roman" w:hAnsi="Times New Roman" w:cs="Times New Roman"/>
              </w:rPr>
              <w:t>Proficiency Rates</w:t>
            </w:r>
          </w:p>
        </w:tc>
      </w:tr>
      <w:tr w:rsidR="007B42EC" w:rsidRPr="00012BC6" w:rsidTr="009C37AA">
        <w:tc>
          <w:tcPr>
            <w:tcW w:w="1683" w:type="dxa"/>
          </w:tcPr>
          <w:p w:rsidR="009C37AA" w:rsidRPr="00012BC6" w:rsidRDefault="009C37AA">
            <w:pPr>
              <w:rPr>
                <w:rFonts w:ascii="Times New Roman" w:hAnsi="Times New Roman" w:cs="Times New Roman"/>
              </w:rPr>
            </w:pPr>
            <w:r w:rsidRPr="00012BC6">
              <w:rPr>
                <w:rFonts w:ascii="Times New Roman" w:hAnsi="Times New Roman" w:cs="Times New Roman"/>
              </w:rPr>
              <w:t>Oral Communication</w:t>
            </w:r>
          </w:p>
        </w:tc>
        <w:tc>
          <w:tcPr>
            <w:tcW w:w="1577" w:type="dxa"/>
          </w:tcPr>
          <w:p w:rsidR="009C37AA" w:rsidRPr="00012BC6" w:rsidRDefault="00D71047">
            <w:pPr>
              <w:rPr>
                <w:rFonts w:ascii="Times New Roman" w:hAnsi="Times New Roman" w:cs="Times New Roman"/>
              </w:rPr>
            </w:pPr>
            <w:r w:rsidRPr="00012BC6">
              <w:rPr>
                <w:rFonts w:ascii="Times New Roman" w:hAnsi="Times New Roman" w:cs="Times New Roman"/>
              </w:rPr>
              <w:t>Students</w:t>
            </w:r>
            <w:r w:rsidR="00047B3E" w:rsidRPr="00012BC6">
              <w:rPr>
                <w:rFonts w:ascii="Times New Roman" w:hAnsi="Times New Roman" w:cs="Times New Roman"/>
              </w:rPr>
              <w:t xml:space="preserve"> </w:t>
            </w:r>
            <w:r w:rsidR="007B42EC" w:rsidRPr="00012BC6">
              <w:rPr>
                <w:rFonts w:ascii="Times New Roman" w:hAnsi="Times New Roman" w:cs="Times New Roman"/>
              </w:rPr>
              <w:t>communicate effectively and the delivery is extemporaneous</w:t>
            </w:r>
          </w:p>
        </w:tc>
        <w:tc>
          <w:tcPr>
            <w:tcW w:w="1577" w:type="dxa"/>
          </w:tcPr>
          <w:p w:rsidR="009C37AA" w:rsidRPr="00012BC6" w:rsidRDefault="00916F6E">
            <w:pPr>
              <w:rPr>
                <w:rFonts w:ascii="Times New Roman" w:hAnsi="Times New Roman" w:cs="Times New Roman"/>
              </w:rPr>
            </w:pPr>
            <w:r w:rsidRPr="00012BC6">
              <w:rPr>
                <w:rFonts w:ascii="Times New Roman" w:hAnsi="Times New Roman" w:cs="Times New Roman"/>
              </w:rPr>
              <w:t xml:space="preserve">Students </w:t>
            </w:r>
            <w:r w:rsidR="00047B3E" w:rsidRPr="00012BC6">
              <w:rPr>
                <w:rFonts w:ascii="Times New Roman" w:hAnsi="Times New Roman" w:cs="Times New Roman"/>
              </w:rPr>
              <w:t>integrate content that is</w:t>
            </w:r>
            <w:r w:rsidR="007B42EC" w:rsidRPr="00012BC6">
              <w:rPr>
                <w:rFonts w:ascii="Times New Roman" w:hAnsi="Times New Roman" w:cs="Times New Roman"/>
              </w:rPr>
              <w:t xml:space="preserve"> appropr</w:t>
            </w:r>
            <w:r w:rsidR="00047B3E" w:rsidRPr="00012BC6">
              <w:rPr>
                <w:rFonts w:ascii="Times New Roman" w:hAnsi="Times New Roman" w:cs="Times New Roman"/>
              </w:rPr>
              <w:t>iate for the audience and organized along clear lines of reasoning</w:t>
            </w:r>
          </w:p>
        </w:tc>
        <w:tc>
          <w:tcPr>
            <w:tcW w:w="1596" w:type="dxa"/>
          </w:tcPr>
          <w:p w:rsidR="009C37AA" w:rsidRPr="00012BC6" w:rsidRDefault="00047B3E">
            <w:pPr>
              <w:rPr>
                <w:rFonts w:ascii="Times New Roman" w:hAnsi="Times New Roman" w:cs="Times New Roman"/>
              </w:rPr>
            </w:pPr>
            <w:r w:rsidRPr="00012BC6">
              <w:rPr>
                <w:rFonts w:ascii="Times New Roman" w:hAnsi="Times New Roman" w:cs="Times New Roman"/>
              </w:rPr>
              <w:t>2016-2017 AY</w:t>
            </w:r>
          </w:p>
        </w:tc>
        <w:tc>
          <w:tcPr>
            <w:tcW w:w="1284" w:type="dxa"/>
          </w:tcPr>
          <w:p w:rsidR="009C37AA" w:rsidRPr="00012BC6" w:rsidRDefault="00B57374">
            <w:pPr>
              <w:rPr>
                <w:rFonts w:ascii="Times New Roman" w:hAnsi="Times New Roman" w:cs="Times New Roman"/>
              </w:rPr>
            </w:pPr>
            <w:r w:rsidRPr="00012BC6">
              <w:rPr>
                <w:rFonts w:ascii="Times New Roman" w:hAnsi="Times New Roman" w:cs="Times New Roman"/>
              </w:rPr>
              <w:t>Speeches in upper-division major courses</w:t>
            </w:r>
          </w:p>
          <w:p w:rsidR="00B57374" w:rsidRPr="00012BC6" w:rsidRDefault="00B57374">
            <w:pPr>
              <w:rPr>
                <w:rFonts w:ascii="Times New Roman" w:hAnsi="Times New Roman" w:cs="Times New Roman"/>
              </w:rPr>
            </w:pPr>
          </w:p>
          <w:p w:rsidR="00B57374" w:rsidRPr="00012BC6" w:rsidRDefault="00B57374">
            <w:pPr>
              <w:rPr>
                <w:rFonts w:ascii="Times New Roman" w:hAnsi="Times New Roman" w:cs="Times New Roman"/>
              </w:rPr>
            </w:pPr>
            <w:r w:rsidRPr="00012BC6">
              <w:rPr>
                <w:rFonts w:ascii="Times New Roman" w:hAnsi="Times New Roman" w:cs="Times New Roman"/>
              </w:rPr>
              <w:t>Rubric</w:t>
            </w:r>
          </w:p>
        </w:tc>
        <w:tc>
          <w:tcPr>
            <w:tcW w:w="1633" w:type="dxa"/>
          </w:tcPr>
          <w:p w:rsidR="009C37AA" w:rsidRDefault="009C37AA">
            <w:pPr>
              <w:rPr>
                <w:rFonts w:ascii="Times New Roman" w:hAnsi="Times New Roman" w:cs="Times New Roman"/>
              </w:rPr>
            </w:pPr>
          </w:p>
          <w:p w:rsidR="00241D5E" w:rsidRPr="00012BC6" w:rsidRDefault="00241D5E">
            <w:pPr>
              <w:rPr>
                <w:rFonts w:ascii="Times New Roman" w:hAnsi="Times New Roman" w:cs="Times New Roman"/>
              </w:rPr>
            </w:pPr>
            <w:r>
              <w:rPr>
                <w:rFonts w:ascii="Times New Roman" w:hAnsi="Times New Roman" w:cs="Times New Roman"/>
              </w:rPr>
              <w:t>80% proficient in all three criteria</w:t>
            </w:r>
          </w:p>
        </w:tc>
      </w:tr>
      <w:tr w:rsidR="007B42EC" w:rsidRPr="00012BC6" w:rsidTr="009C37AA">
        <w:tc>
          <w:tcPr>
            <w:tcW w:w="1683" w:type="dxa"/>
          </w:tcPr>
          <w:p w:rsidR="009C37AA" w:rsidRPr="00012BC6" w:rsidRDefault="009C37AA">
            <w:pPr>
              <w:rPr>
                <w:rFonts w:ascii="Times New Roman" w:hAnsi="Times New Roman" w:cs="Times New Roman"/>
              </w:rPr>
            </w:pPr>
            <w:r w:rsidRPr="00012BC6">
              <w:rPr>
                <w:rFonts w:ascii="Times New Roman" w:hAnsi="Times New Roman" w:cs="Times New Roman"/>
              </w:rPr>
              <w:lastRenderedPageBreak/>
              <w:t>Quantitative Reasoning</w:t>
            </w:r>
          </w:p>
        </w:tc>
        <w:tc>
          <w:tcPr>
            <w:tcW w:w="1577" w:type="dxa"/>
          </w:tcPr>
          <w:p w:rsidR="009C37AA" w:rsidRPr="00012BC6" w:rsidRDefault="00D71047">
            <w:pPr>
              <w:rPr>
                <w:rFonts w:ascii="Times New Roman" w:hAnsi="Times New Roman" w:cs="Times New Roman"/>
              </w:rPr>
            </w:pPr>
            <w:r w:rsidRPr="00012BC6">
              <w:rPr>
                <w:rFonts w:ascii="Times New Roman" w:hAnsi="Times New Roman" w:cs="Times New Roman"/>
              </w:rPr>
              <w:t>Students</w:t>
            </w:r>
            <w:r w:rsidR="007B42EC" w:rsidRPr="00012BC6">
              <w:rPr>
                <w:rFonts w:ascii="Times New Roman" w:hAnsi="Times New Roman" w:cs="Times New Roman"/>
              </w:rPr>
              <w:t xml:space="preserve"> </w:t>
            </w:r>
            <w:r w:rsidRPr="00012BC6">
              <w:rPr>
                <w:rFonts w:ascii="Times New Roman" w:hAnsi="Times New Roman" w:cs="Times New Roman"/>
              </w:rPr>
              <w:t>solve authentic quantitative reasoning problems using mathematical formulas</w:t>
            </w:r>
          </w:p>
        </w:tc>
        <w:tc>
          <w:tcPr>
            <w:tcW w:w="1577" w:type="dxa"/>
          </w:tcPr>
          <w:p w:rsidR="009C37AA" w:rsidRPr="00012BC6" w:rsidRDefault="00D71047">
            <w:pPr>
              <w:rPr>
                <w:rFonts w:ascii="Times New Roman" w:hAnsi="Times New Roman" w:cs="Times New Roman"/>
              </w:rPr>
            </w:pPr>
            <w:r w:rsidRPr="00012BC6">
              <w:rPr>
                <w:rFonts w:ascii="Times New Roman" w:hAnsi="Times New Roman" w:cs="Times New Roman"/>
              </w:rPr>
              <w:t>Students will be able to accurately interpret different</w:t>
            </w:r>
            <w:r w:rsidR="007B42EC" w:rsidRPr="00012BC6">
              <w:rPr>
                <w:rFonts w:ascii="Times New Roman" w:hAnsi="Times New Roman" w:cs="Times New Roman"/>
              </w:rPr>
              <w:t xml:space="preserve"> kinds of quantitative data</w:t>
            </w:r>
          </w:p>
        </w:tc>
        <w:tc>
          <w:tcPr>
            <w:tcW w:w="1596" w:type="dxa"/>
          </w:tcPr>
          <w:p w:rsidR="009C37AA" w:rsidRPr="00012BC6" w:rsidRDefault="00047B3E">
            <w:pPr>
              <w:rPr>
                <w:rFonts w:ascii="Times New Roman" w:hAnsi="Times New Roman" w:cs="Times New Roman"/>
              </w:rPr>
            </w:pPr>
            <w:r w:rsidRPr="00012BC6">
              <w:rPr>
                <w:rFonts w:ascii="Times New Roman" w:hAnsi="Times New Roman" w:cs="Times New Roman"/>
              </w:rPr>
              <w:t>2017-2018 AY</w:t>
            </w:r>
          </w:p>
        </w:tc>
        <w:tc>
          <w:tcPr>
            <w:tcW w:w="1284" w:type="dxa"/>
          </w:tcPr>
          <w:p w:rsidR="009C37AA" w:rsidRPr="00012BC6" w:rsidRDefault="00B57374">
            <w:pPr>
              <w:rPr>
                <w:rFonts w:ascii="Times New Roman" w:hAnsi="Times New Roman" w:cs="Times New Roman"/>
              </w:rPr>
            </w:pPr>
            <w:r w:rsidRPr="00012BC6">
              <w:rPr>
                <w:rFonts w:ascii="Times New Roman" w:hAnsi="Times New Roman" w:cs="Times New Roman"/>
              </w:rPr>
              <w:t xml:space="preserve">Quantitative </w:t>
            </w:r>
          </w:p>
          <w:p w:rsidR="00B57374" w:rsidRPr="00012BC6" w:rsidRDefault="00B57374">
            <w:pPr>
              <w:rPr>
                <w:rFonts w:ascii="Times New Roman" w:hAnsi="Times New Roman" w:cs="Times New Roman"/>
              </w:rPr>
            </w:pPr>
            <w:r w:rsidRPr="00012BC6">
              <w:rPr>
                <w:rFonts w:ascii="Times New Roman" w:hAnsi="Times New Roman" w:cs="Times New Roman"/>
              </w:rPr>
              <w:t xml:space="preserve">Reasoning exam </w:t>
            </w:r>
          </w:p>
          <w:p w:rsidR="00B57374" w:rsidRPr="00012BC6" w:rsidRDefault="00B57374">
            <w:pPr>
              <w:rPr>
                <w:rFonts w:ascii="Times New Roman" w:hAnsi="Times New Roman" w:cs="Times New Roman"/>
              </w:rPr>
            </w:pPr>
          </w:p>
          <w:p w:rsidR="00B57374" w:rsidRPr="00012BC6" w:rsidRDefault="00B57374">
            <w:pPr>
              <w:rPr>
                <w:rFonts w:ascii="Times New Roman" w:hAnsi="Times New Roman" w:cs="Times New Roman"/>
              </w:rPr>
            </w:pPr>
            <w:r w:rsidRPr="00012BC6">
              <w:rPr>
                <w:rFonts w:ascii="Times New Roman" w:hAnsi="Times New Roman" w:cs="Times New Roman"/>
              </w:rPr>
              <w:t>Score</w:t>
            </w:r>
          </w:p>
        </w:tc>
        <w:tc>
          <w:tcPr>
            <w:tcW w:w="1633" w:type="dxa"/>
          </w:tcPr>
          <w:p w:rsidR="009C37AA" w:rsidRDefault="009C37AA">
            <w:pPr>
              <w:rPr>
                <w:rFonts w:ascii="Times New Roman" w:hAnsi="Times New Roman" w:cs="Times New Roman"/>
              </w:rPr>
            </w:pPr>
          </w:p>
          <w:p w:rsidR="00241D5E" w:rsidRPr="00012BC6" w:rsidRDefault="00241D5E">
            <w:pPr>
              <w:rPr>
                <w:rFonts w:ascii="Times New Roman" w:hAnsi="Times New Roman" w:cs="Times New Roman"/>
              </w:rPr>
            </w:pPr>
            <w:r>
              <w:rPr>
                <w:rFonts w:ascii="Times New Roman" w:hAnsi="Times New Roman" w:cs="Times New Roman"/>
              </w:rPr>
              <w:t>51% were proficient</w:t>
            </w:r>
          </w:p>
        </w:tc>
      </w:tr>
      <w:tr w:rsidR="007B42EC" w:rsidRPr="00012BC6" w:rsidTr="009C37AA">
        <w:tc>
          <w:tcPr>
            <w:tcW w:w="1683" w:type="dxa"/>
          </w:tcPr>
          <w:p w:rsidR="009C37AA" w:rsidRPr="00012BC6" w:rsidRDefault="008034D9">
            <w:pPr>
              <w:rPr>
                <w:rFonts w:ascii="Times New Roman" w:hAnsi="Times New Roman" w:cs="Times New Roman"/>
              </w:rPr>
            </w:pPr>
            <w:r w:rsidRPr="00012BC6">
              <w:rPr>
                <w:rFonts w:ascii="Times New Roman" w:hAnsi="Times New Roman" w:cs="Times New Roman"/>
              </w:rPr>
              <w:t>Information Literacy</w:t>
            </w:r>
          </w:p>
        </w:tc>
        <w:tc>
          <w:tcPr>
            <w:tcW w:w="1577" w:type="dxa"/>
          </w:tcPr>
          <w:p w:rsidR="009C37AA" w:rsidRPr="00012BC6" w:rsidRDefault="007B42EC">
            <w:pPr>
              <w:rPr>
                <w:rFonts w:ascii="Times New Roman" w:hAnsi="Times New Roman" w:cs="Times New Roman"/>
              </w:rPr>
            </w:pPr>
            <w:r w:rsidRPr="00012BC6">
              <w:rPr>
                <w:rFonts w:ascii="Times New Roman" w:hAnsi="Times New Roman" w:cs="Times New Roman"/>
              </w:rPr>
              <w:t>Students use information effectively to achieve a specific purpose</w:t>
            </w:r>
          </w:p>
        </w:tc>
        <w:tc>
          <w:tcPr>
            <w:tcW w:w="1577" w:type="dxa"/>
          </w:tcPr>
          <w:p w:rsidR="009C37AA" w:rsidRPr="00012BC6" w:rsidRDefault="007B42EC">
            <w:pPr>
              <w:rPr>
                <w:rFonts w:ascii="Times New Roman" w:hAnsi="Times New Roman" w:cs="Times New Roman"/>
              </w:rPr>
            </w:pPr>
            <w:r w:rsidRPr="00012BC6">
              <w:rPr>
                <w:rFonts w:ascii="Times New Roman" w:hAnsi="Times New Roman" w:cs="Times New Roman"/>
              </w:rPr>
              <w:t xml:space="preserve">Students critically evaluate information and its sources </w:t>
            </w:r>
          </w:p>
        </w:tc>
        <w:tc>
          <w:tcPr>
            <w:tcW w:w="1596" w:type="dxa"/>
          </w:tcPr>
          <w:p w:rsidR="009C37AA" w:rsidRPr="00012BC6" w:rsidRDefault="00047B3E">
            <w:pPr>
              <w:rPr>
                <w:rFonts w:ascii="Times New Roman" w:hAnsi="Times New Roman" w:cs="Times New Roman"/>
              </w:rPr>
            </w:pPr>
            <w:r w:rsidRPr="00012BC6">
              <w:rPr>
                <w:rFonts w:ascii="Times New Roman" w:hAnsi="Times New Roman" w:cs="Times New Roman"/>
              </w:rPr>
              <w:t>2018-2019 AY</w:t>
            </w:r>
          </w:p>
        </w:tc>
        <w:tc>
          <w:tcPr>
            <w:tcW w:w="1284" w:type="dxa"/>
          </w:tcPr>
          <w:p w:rsidR="009C37AA" w:rsidRPr="00012BC6" w:rsidRDefault="00B57374">
            <w:pPr>
              <w:rPr>
                <w:rFonts w:ascii="Times New Roman" w:hAnsi="Times New Roman" w:cs="Times New Roman"/>
              </w:rPr>
            </w:pPr>
            <w:r w:rsidRPr="00012BC6">
              <w:rPr>
                <w:rFonts w:ascii="Times New Roman" w:hAnsi="Times New Roman" w:cs="Times New Roman"/>
              </w:rPr>
              <w:t>Papers from upper-division major courses</w:t>
            </w:r>
          </w:p>
          <w:p w:rsidR="00B57374" w:rsidRPr="00012BC6" w:rsidRDefault="00B57374">
            <w:pPr>
              <w:rPr>
                <w:rFonts w:ascii="Times New Roman" w:hAnsi="Times New Roman" w:cs="Times New Roman"/>
              </w:rPr>
            </w:pPr>
          </w:p>
          <w:p w:rsidR="00B57374" w:rsidRPr="00012BC6" w:rsidRDefault="00B57374">
            <w:pPr>
              <w:rPr>
                <w:rFonts w:ascii="Times New Roman" w:hAnsi="Times New Roman" w:cs="Times New Roman"/>
              </w:rPr>
            </w:pPr>
            <w:r w:rsidRPr="00012BC6">
              <w:rPr>
                <w:rFonts w:ascii="Times New Roman" w:hAnsi="Times New Roman" w:cs="Times New Roman"/>
              </w:rPr>
              <w:t>Rubric</w:t>
            </w:r>
          </w:p>
        </w:tc>
        <w:tc>
          <w:tcPr>
            <w:tcW w:w="1633" w:type="dxa"/>
          </w:tcPr>
          <w:p w:rsidR="009C37AA" w:rsidRPr="00012BC6" w:rsidRDefault="00AD09D4">
            <w:pPr>
              <w:rPr>
                <w:rFonts w:ascii="Times New Roman" w:hAnsi="Times New Roman" w:cs="Times New Roman"/>
              </w:rPr>
            </w:pPr>
            <w:r>
              <w:rPr>
                <w:rFonts w:ascii="Times New Roman" w:hAnsi="Times New Roman" w:cs="Times New Roman"/>
              </w:rPr>
              <w:t>Slightly more than 80% of students were proficient in all criteria.</w:t>
            </w:r>
          </w:p>
        </w:tc>
      </w:tr>
      <w:tr w:rsidR="007B42EC" w:rsidRPr="00012BC6" w:rsidTr="009C37AA">
        <w:tc>
          <w:tcPr>
            <w:tcW w:w="1683" w:type="dxa"/>
          </w:tcPr>
          <w:p w:rsidR="009C37AA" w:rsidRPr="00012BC6" w:rsidRDefault="008034D9">
            <w:pPr>
              <w:rPr>
                <w:rFonts w:ascii="Times New Roman" w:hAnsi="Times New Roman" w:cs="Times New Roman"/>
              </w:rPr>
            </w:pPr>
            <w:r w:rsidRPr="00012BC6">
              <w:rPr>
                <w:rFonts w:ascii="Times New Roman" w:hAnsi="Times New Roman" w:cs="Times New Roman"/>
              </w:rPr>
              <w:t>Written Communication</w:t>
            </w:r>
          </w:p>
        </w:tc>
        <w:tc>
          <w:tcPr>
            <w:tcW w:w="1577" w:type="dxa"/>
          </w:tcPr>
          <w:p w:rsidR="009C37AA" w:rsidRPr="00012BC6" w:rsidRDefault="003E6B53">
            <w:pPr>
              <w:rPr>
                <w:rFonts w:ascii="Times New Roman" w:hAnsi="Times New Roman" w:cs="Times New Roman"/>
              </w:rPr>
            </w:pPr>
            <w:r w:rsidRPr="00012BC6">
              <w:rPr>
                <w:rFonts w:ascii="Times New Roman" w:hAnsi="Times New Roman" w:cs="Times New Roman"/>
              </w:rPr>
              <w:t>Content is appropriate and well-organized and developed along clear lines</w:t>
            </w:r>
          </w:p>
        </w:tc>
        <w:tc>
          <w:tcPr>
            <w:tcW w:w="1577" w:type="dxa"/>
          </w:tcPr>
          <w:p w:rsidR="009C37AA" w:rsidRPr="00012BC6" w:rsidRDefault="007B42EC">
            <w:pPr>
              <w:rPr>
                <w:rFonts w:ascii="Times New Roman" w:hAnsi="Times New Roman" w:cs="Times New Roman"/>
              </w:rPr>
            </w:pPr>
            <w:r w:rsidRPr="00012BC6">
              <w:rPr>
                <w:rFonts w:ascii="Times New Roman" w:hAnsi="Times New Roman" w:cs="Times New Roman"/>
              </w:rPr>
              <w:t>Students use appropriate</w:t>
            </w:r>
            <w:r w:rsidR="00916F6E" w:rsidRPr="00012BC6">
              <w:rPr>
                <w:rFonts w:ascii="Times New Roman" w:hAnsi="Times New Roman" w:cs="Times New Roman"/>
              </w:rPr>
              <w:t xml:space="preserve"> language </w:t>
            </w:r>
            <w:r w:rsidRPr="00012BC6">
              <w:rPr>
                <w:rFonts w:ascii="Times New Roman" w:hAnsi="Times New Roman" w:cs="Times New Roman"/>
              </w:rPr>
              <w:t xml:space="preserve">and </w:t>
            </w:r>
            <w:r w:rsidR="00916F6E" w:rsidRPr="00012BC6">
              <w:rPr>
                <w:rFonts w:ascii="Times New Roman" w:hAnsi="Times New Roman" w:cs="Times New Roman"/>
              </w:rPr>
              <w:t xml:space="preserve"> sentence structure</w:t>
            </w:r>
            <w:r w:rsidRPr="00012BC6">
              <w:rPr>
                <w:rFonts w:ascii="Times New Roman" w:hAnsi="Times New Roman" w:cs="Times New Roman"/>
              </w:rPr>
              <w:t>s</w:t>
            </w:r>
            <w:r w:rsidR="00916F6E" w:rsidRPr="00012BC6">
              <w:rPr>
                <w:rFonts w:ascii="Times New Roman" w:hAnsi="Times New Roman" w:cs="Times New Roman"/>
              </w:rPr>
              <w:t xml:space="preserve"> to convey meaning to readers</w:t>
            </w:r>
          </w:p>
        </w:tc>
        <w:tc>
          <w:tcPr>
            <w:tcW w:w="1596" w:type="dxa"/>
          </w:tcPr>
          <w:p w:rsidR="009C37AA" w:rsidRPr="00012BC6" w:rsidRDefault="00047B3E">
            <w:pPr>
              <w:rPr>
                <w:rFonts w:ascii="Times New Roman" w:hAnsi="Times New Roman" w:cs="Times New Roman"/>
              </w:rPr>
            </w:pPr>
            <w:r w:rsidRPr="00012BC6">
              <w:rPr>
                <w:rFonts w:ascii="Times New Roman" w:hAnsi="Times New Roman" w:cs="Times New Roman"/>
              </w:rPr>
              <w:t>2019-2020 AY</w:t>
            </w:r>
          </w:p>
        </w:tc>
        <w:tc>
          <w:tcPr>
            <w:tcW w:w="1284" w:type="dxa"/>
          </w:tcPr>
          <w:p w:rsidR="009C37AA" w:rsidRPr="00012BC6" w:rsidRDefault="00B57374">
            <w:pPr>
              <w:rPr>
                <w:rFonts w:ascii="Times New Roman" w:hAnsi="Times New Roman" w:cs="Times New Roman"/>
              </w:rPr>
            </w:pPr>
            <w:r w:rsidRPr="00012BC6">
              <w:rPr>
                <w:rFonts w:ascii="Times New Roman" w:hAnsi="Times New Roman" w:cs="Times New Roman"/>
              </w:rPr>
              <w:t>Papers from upper-division major courses</w:t>
            </w:r>
          </w:p>
          <w:p w:rsidR="00B57374" w:rsidRPr="00012BC6" w:rsidRDefault="00B57374">
            <w:pPr>
              <w:rPr>
                <w:rFonts w:ascii="Times New Roman" w:hAnsi="Times New Roman" w:cs="Times New Roman"/>
              </w:rPr>
            </w:pPr>
          </w:p>
          <w:p w:rsidR="00B57374" w:rsidRPr="00012BC6" w:rsidRDefault="00B57374">
            <w:pPr>
              <w:rPr>
                <w:rFonts w:ascii="Times New Roman" w:hAnsi="Times New Roman" w:cs="Times New Roman"/>
              </w:rPr>
            </w:pPr>
            <w:r w:rsidRPr="00012BC6">
              <w:rPr>
                <w:rFonts w:ascii="Times New Roman" w:hAnsi="Times New Roman" w:cs="Times New Roman"/>
              </w:rPr>
              <w:t>Rubric</w:t>
            </w:r>
          </w:p>
        </w:tc>
        <w:tc>
          <w:tcPr>
            <w:tcW w:w="1633" w:type="dxa"/>
          </w:tcPr>
          <w:p w:rsidR="009C37AA" w:rsidRPr="00012BC6" w:rsidRDefault="00AD09D4">
            <w:pPr>
              <w:rPr>
                <w:rFonts w:ascii="Times New Roman" w:hAnsi="Times New Roman" w:cs="Times New Roman"/>
              </w:rPr>
            </w:pPr>
            <w:r>
              <w:rPr>
                <w:rFonts w:ascii="Times New Roman" w:hAnsi="Times New Roman" w:cs="Times New Roman"/>
              </w:rPr>
              <w:t>Results will be available in June 2020</w:t>
            </w:r>
          </w:p>
        </w:tc>
      </w:tr>
      <w:tr w:rsidR="007B42EC" w:rsidRPr="00012BC6" w:rsidTr="009C37AA">
        <w:tc>
          <w:tcPr>
            <w:tcW w:w="1683" w:type="dxa"/>
          </w:tcPr>
          <w:p w:rsidR="009C37AA" w:rsidRPr="00012BC6" w:rsidRDefault="008034D9">
            <w:pPr>
              <w:rPr>
                <w:rFonts w:ascii="Times New Roman" w:hAnsi="Times New Roman" w:cs="Times New Roman"/>
              </w:rPr>
            </w:pPr>
            <w:r w:rsidRPr="00012BC6">
              <w:rPr>
                <w:rFonts w:ascii="Times New Roman" w:hAnsi="Times New Roman" w:cs="Times New Roman"/>
              </w:rPr>
              <w:t>Critical Thinking</w:t>
            </w:r>
          </w:p>
        </w:tc>
        <w:tc>
          <w:tcPr>
            <w:tcW w:w="1577" w:type="dxa"/>
          </w:tcPr>
          <w:p w:rsidR="009C37AA" w:rsidRPr="00012BC6" w:rsidRDefault="003E6B53">
            <w:pPr>
              <w:rPr>
                <w:rFonts w:ascii="Times New Roman" w:hAnsi="Times New Roman" w:cs="Times New Roman"/>
              </w:rPr>
            </w:pPr>
            <w:r w:rsidRPr="00012BC6">
              <w:rPr>
                <w:rFonts w:ascii="Times New Roman" w:hAnsi="Times New Roman" w:cs="Times New Roman"/>
              </w:rPr>
              <w:t>Students  will identify and evaluate the thesis and/or key points of an argument</w:t>
            </w:r>
          </w:p>
        </w:tc>
        <w:tc>
          <w:tcPr>
            <w:tcW w:w="1577" w:type="dxa"/>
          </w:tcPr>
          <w:p w:rsidR="009C37AA" w:rsidRPr="00012BC6" w:rsidRDefault="003E6B53">
            <w:pPr>
              <w:rPr>
                <w:rFonts w:ascii="Times New Roman" w:hAnsi="Times New Roman" w:cs="Times New Roman"/>
              </w:rPr>
            </w:pPr>
            <w:r w:rsidRPr="00012BC6">
              <w:rPr>
                <w:rFonts w:ascii="Times New Roman" w:hAnsi="Times New Roman" w:cs="Times New Roman"/>
              </w:rPr>
              <w:t>S</w:t>
            </w:r>
            <w:r w:rsidR="00B57374" w:rsidRPr="00012BC6">
              <w:rPr>
                <w:rFonts w:ascii="Times New Roman" w:hAnsi="Times New Roman" w:cs="Times New Roman"/>
              </w:rPr>
              <w:t>tudents will be able to evaluate evidence to determine if it is valid and relevant</w:t>
            </w:r>
          </w:p>
        </w:tc>
        <w:tc>
          <w:tcPr>
            <w:tcW w:w="1596" w:type="dxa"/>
          </w:tcPr>
          <w:p w:rsidR="009C37AA" w:rsidRPr="00012BC6" w:rsidRDefault="00047B3E">
            <w:pPr>
              <w:rPr>
                <w:rFonts w:ascii="Times New Roman" w:hAnsi="Times New Roman" w:cs="Times New Roman"/>
              </w:rPr>
            </w:pPr>
            <w:r w:rsidRPr="00012BC6">
              <w:rPr>
                <w:rFonts w:ascii="Times New Roman" w:hAnsi="Times New Roman" w:cs="Times New Roman"/>
              </w:rPr>
              <w:t>2020-2021 AY</w:t>
            </w:r>
          </w:p>
        </w:tc>
        <w:tc>
          <w:tcPr>
            <w:tcW w:w="1284" w:type="dxa"/>
          </w:tcPr>
          <w:p w:rsidR="009C37AA" w:rsidRPr="00012BC6" w:rsidRDefault="00B57374">
            <w:pPr>
              <w:rPr>
                <w:rFonts w:ascii="Times New Roman" w:hAnsi="Times New Roman" w:cs="Times New Roman"/>
              </w:rPr>
            </w:pPr>
            <w:r w:rsidRPr="00012BC6">
              <w:rPr>
                <w:rFonts w:ascii="Times New Roman" w:hAnsi="Times New Roman" w:cs="Times New Roman"/>
              </w:rPr>
              <w:t>Critical Thinking Exam</w:t>
            </w:r>
          </w:p>
          <w:p w:rsidR="00B57374" w:rsidRPr="00012BC6" w:rsidRDefault="00B57374">
            <w:pPr>
              <w:rPr>
                <w:rFonts w:ascii="Times New Roman" w:hAnsi="Times New Roman" w:cs="Times New Roman"/>
              </w:rPr>
            </w:pPr>
          </w:p>
          <w:p w:rsidR="00B57374" w:rsidRPr="00012BC6" w:rsidRDefault="00B57374">
            <w:pPr>
              <w:rPr>
                <w:rFonts w:ascii="Times New Roman" w:hAnsi="Times New Roman" w:cs="Times New Roman"/>
              </w:rPr>
            </w:pPr>
          </w:p>
        </w:tc>
        <w:tc>
          <w:tcPr>
            <w:tcW w:w="1633" w:type="dxa"/>
          </w:tcPr>
          <w:p w:rsidR="009C37AA" w:rsidRPr="00012BC6" w:rsidRDefault="00AD09D4">
            <w:pPr>
              <w:rPr>
                <w:rFonts w:ascii="Times New Roman" w:hAnsi="Times New Roman" w:cs="Times New Roman"/>
              </w:rPr>
            </w:pPr>
            <w:r>
              <w:rPr>
                <w:rFonts w:ascii="Times New Roman" w:hAnsi="Times New Roman" w:cs="Times New Roman"/>
              </w:rPr>
              <w:t>Results will be available in June 2021</w:t>
            </w:r>
            <w:bookmarkStart w:id="0" w:name="_GoBack"/>
            <w:bookmarkEnd w:id="0"/>
          </w:p>
        </w:tc>
      </w:tr>
      <w:tr w:rsidR="007B42EC" w:rsidRPr="00012BC6" w:rsidTr="009C37AA">
        <w:tc>
          <w:tcPr>
            <w:tcW w:w="1683" w:type="dxa"/>
          </w:tcPr>
          <w:p w:rsidR="009C37AA" w:rsidRPr="00012BC6" w:rsidRDefault="008034D9">
            <w:pPr>
              <w:rPr>
                <w:rFonts w:ascii="Times New Roman" w:hAnsi="Times New Roman" w:cs="Times New Roman"/>
              </w:rPr>
            </w:pPr>
            <w:r w:rsidRPr="00012BC6">
              <w:rPr>
                <w:rFonts w:ascii="Times New Roman" w:hAnsi="Times New Roman" w:cs="Times New Roman"/>
              </w:rPr>
              <w:t>Oral Communication</w:t>
            </w:r>
          </w:p>
        </w:tc>
        <w:tc>
          <w:tcPr>
            <w:tcW w:w="1577" w:type="dxa"/>
          </w:tcPr>
          <w:p w:rsidR="009C37AA" w:rsidRPr="00012BC6" w:rsidRDefault="009C37AA">
            <w:pPr>
              <w:rPr>
                <w:rFonts w:ascii="Times New Roman" w:hAnsi="Times New Roman" w:cs="Times New Roman"/>
              </w:rPr>
            </w:pPr>
          </w:p>
        </w:tc>
        <w:tc>
          <w:tcPr>
            <w:tcW w:w="1577" w:type="dxa"/>
          </w:tcPr>
          <w:p w:rsidR="009C37AA" w:rsidRPr="00012BC6" w:rsidRDefault="009C37AA">
            <w:pPr>
              <w:rPr>
                <w:rFonts w:ascii="Times New Roman" w:hAnsi="Times New Roman" w:cs="Times New Roman"/>
              </w:rPr>
            </w:pPr>
          </w:p>
        </w:tc>
        <w:tc>
          <w:tcPr>
            <w:tcW w:w="1596" w:type="dxa"/>
          </w:tcPr>
          <w:p w:rsidR="009C37AA" w:rsidRPr="00012BC6" w:rsidRDefault="00047B3E">
            <w:pPr>
              <w:rPr>
                <w:rFonts w:ascii="Times New Roman" w:hAnsi="Times New Roman" w:cs="Times New Roman"/>
              </w:rPr>
            </w:pPr>
            <w:r w:rsidRPr="00012BC6">
              <w:rPr>
                <w:rFonts w:ascii="Times New Roman" w:hAnsi="Times New Roman" w:cs="Times New Roman"/>
              </w:rPr>
              <w:t>2021-2022 AY</w:t>
            </w:r>
          </w:p>
        </w:tc>
        <w:tc>
          <w:tcPr>
            <w:tcW w:w="1284" w:type="dxa"/>
          </w:tcPr>
          <w:p w:rsidR="009C37AA" w:rsidRPr="00012BC6" w:rsidRDefault="009C37AA">
            <w:pPr>
              <w:rPr>
                <w:rFonts w:ascii="Times New Roman" w:hAnsi="Times New Roman" w:cs="Times New Roman"/>
              </w:rPr>
            </w:pPr>
          </w:p>
        </w:tc>
        <w:tc>
          <w:tcPr>
            <w:tcW w:w="1633" w:type="dxa"/>
          </w:tcPr>
          <w:p w:rsidR="009C37AA" w:rsidRPr="00012BC6" w:rsidRDefault="009C37AA">
            <w:pPr>
              <w:rPr>
                <w:rFonts w:ascii="Times New Roman" w:hAnsi="Times New Roman" w:cs="Times New Roman"/>
              </w:rPr>
            </w:pPr>
          </w:p>
        </w:tc>
      </w:tr>
      <w:tr w:rsidR="007B42EC" w:rsidRPr="00012BC6" w:rsidTr="009C37AA">
        <w:tc>
          <w:tcPr>
            <w:tcW w:w="1683" w:type="dxa"/>
          </w:tcPr>
          <w:p w:rsidR="009C37AA" w:rsidRPr="00012BC6" w:rsidRDefault="008034D9">
            <w:pPr>
              <w:rPr>
                <w:rFonts w:ascii="Times New Roman" w:hAnsi="Times New Roman" w:cs="Times New Roman"/>
              </w:rPr>
            </w:pPr>
            <w:r w:rsidRPr="00012BC6">
              <w:rPr>
                <w:rFonts w:ascii="Times New Roman" w:hAnsi="Times New Roman" w:cs="Times New Roman"/>
              </w:rPr>
              <w:t>Quantitative Reasoning</w:t>
            </w:r>
          </w:p>
        </w:tc>
        <w:tc>
          <w:tcPr>
            <w:tcW w:w="1577" w:type="dxa"/>
          </w:tcPr>
          <w:p w:rsidR="009C37AA" w:rsidRPr="00012BC6" w:rsidRDefault="009C37AA">
            <w:pPr>
              <w:rPr>
                <w:rFonts w:ascii="Times New Roman" w:hAnsi="Times New Roman" w:cs="Times New Roman"/>
              </w:rPr>
            </w:pPr>
          </w:p>
        </w:tc>
        <w:tc>
          <w:tcPr>
            <w:tcW w:w="1577" w:type="dxa"/>
          </w:tcPr>
          <w:p w:rsidR="009C37AA" w:rsidRPr="00012BC6" w:rsidRDefault="009C37AA">
            <w:pPr>
              <w:rPr>
                <w:rFonts w:ascii="Times New Roman" w:hAnsi="Times New Roman" w:cs="Times New Roman"/>
              </w:rPr>
            </w:pPr>
          </w:p>
        </w:tc>
        <w:tc>
          <w:tcPr>
            <w:tcW w:w="1596" w:type="dxa"/>
          </w:tcPr>
          <w:p w:rsidR="009C37AA" w:rsidRPr="00012BC6" w:rsidRDefault="00047B3E">
            <w:pPr>
              <w:rPr>
                <w:rFonts w:ascii="Times New Roman" w:hAnsi="Times New Roman" w:cs="Times New Roman"/>
              </w:rPr>
            </w:pPr>
            <w:r w:rsidRPr="00012BC6">
              <w:rPr>
                <w:rFonts w:ascii="Times New Roman" w:hAnsi="Times New Roman" w:cs="Times New Roman"/>
              </w:rPr>
              <w:t>2022-2023 AY</w:t>
            </w:r>
          </w:p>
        </w:tc>
        <w:tc>
          <w:tcPr>
            <w:tcW w:w="1284" w:type="dxa"/>
          </w:tcPr>
          <w:p w:rsidR="009C37AA" w:rsidRPr="00012BC6" w:rsidRDefault="009C37AA">
            <w:pPr>
              <w:rPr>
                <w:rFonts w:ascii="Times New Roman" w:hAnsi="Times New Roman" w:cs="Times New Roman"/>
              </w:rPr>
            </w:pPr>
          </w:p>
        </w:tc>
        <w:tc>
          <w:tcPr>
            <w:tcW w:w="1633" w:type="dxa"/>
          </w:tcPr>
          <w:p w:rsidR="009C37AA" w:rsidRPr="00012BC6" w:rsidRDefault="009C37AA">
            <w:pPr>
              <w:rPr>
                <w:rFonts w:ascii="Times New Roman" w:hAnsi="Times New Roman" w:cs="Times New Roman"/>
              </w:rPr>
            </w:pPr>
          </w:p>
        </w:tc>
      </w:tr>
    </w:tbl>
    <w:p w:rsidR="009C37AA" w:rsidRDefault="009C37AA"/>
    <w:p w:rsidR="00615804" w:rsidRDefault="00615804"/>
    <w:p w:rsidR="00615804" w:rsidRDefault="00615804"/>
    <w:sectPr w:rsidR="006158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B92" w:rsidRDefault="001E0B92" w:rsidP="008E7F02">
      <w:pPr>
        <w:spacing w:after="0" w:line="240" w:lineRule="auto"/>
      </w:pPr>
      <w:r>
        <w:separator/>
      </w:r>
    </w:p>
  </w:endnote>
  <w:endnote w:type="continuationSeparator" w:id="0">
    <w:p w:rsidR="001E0B92" w:rsidRDefault="001E0B92" w:rsidP="008E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B92" w:rsidRDefault="001E0B92" w:rsidP="008E7F02">
      <w:pPr>
        <w:spacing w:after="0" w:line="240" w:lineRule="auto"/>
      </w:pPr>
      <w:r>
        <w:separator/>
      </w:r>
    </w:p>
  </w:footnote>
  <w:footnote w:type="continuationSeparator" w:id="0">
    <w:p w:rsidR="001E0B92" w:rsidRDefault="001E0B92" w:rsidP="008E7F02">
      <w:pPr>
        <w:spacing w:after="0" w:line="240" w:lineRule="auto"/>
      </w:pPr>
      <w:r>
        <w:continuationSeparator/>
      </w:r>
    </w:p>
  </w:footnote>
  <w:footnote w:id="1">
    <w:p w:rsidR="008E7F02" w:rsidRDefault="008E7F02">
      <w:pPr>
        <w:pStyle w:val="FootnoteText"/>
      </w:pPr>
      <w:r>
        <w:rPr>
          <w:rStyle w:val="FootnoteReference"/>
        </w:rPr>
        <w:footnoteRef/>
      </w:r>
      <w:r>
        <w:t xml:space="preserve"> Fresno State has eight colleges/schools in total, however, the </w:t>
      </w:r>
      <w:proofErr w:type="spellStart"/>
      <w:r>
        <w:t>Kremen</w:t>
      </w:r>
      <w:proofErr w:type="spellEnd"/>
      <w:r>
        <w:t xml:space="preserve"> School of Education and Human Development only has one undergraduate major which is liberal studies and these students primarily take courses offered by other departments. Therefore, for the purposes of evaluating the WSCUC core competencies the assessments are carried out in as many of the seven colleges/schools that offer multiple undergraduate degrees as possible.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A3"/>
    <w:rsid w:val="00012BC6"/>
    <w:rsid w:val="00047B3E"/>
    <w:rsid w:val="001E0B92"/>
    <w:rsid w:val="00241D5E"/>
    <w:rsid w:val="00292F6A"/>
    <w:rsid w:val="003254B4"/>
    <w:rsid w:val="003E6B53"/>
    <w:rsid w:val="00615804"/>
    <w:rsid w:val="00724FA3"/>
    <w:rsid w:val="007B42EC"/>
    <w:rsid w:val="008034D9"/>
    <w:rsid w:val="008E7F02"/>
    <w:rsid w:val="00916F6E"/>
    <w:rsid w:val="009B57C3"/>
    <w:rsid w:val="009C37AA"/>
    <w:rsid w:val="00AD09D4"/>
    <w:rsid w:val="00B57374"/>
    <w:rsid w:val="00BE0697"/>
    <w:rsid w:val="00CB177D"/>
    <w:rsid w:val="00CE5302"/>
    <w:rsid w:val="00D71047"/>
    <w:rsid w:val="00E5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96E3"/>
  <w15:chartTrackingRefBased/>
  <w15:docId w15:val="{1BACA4C1-B550-481F-84C2-989D0898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7F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F02"/>
    <w:rPr>
      <w:sz w:val="20"/>
      <w:szCs w:val="20"/>
    </w:rPr>
  </w:style>
  <w:style w:type="character" w:styleId="FootnoteReference">
    <w:name w:val="footnote reference"/>
    <w:basedOn w:val="DefaultParagraphFont"/>
    <w:uiPriority w:val="99"/>
    <w:semiHidden/>
    <w:unhideWhenUsed/>
    <w:rsid w:val="008E7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FA09C-658C-4C81-9EF2-E2A053328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Melissa Jordine</cp:lastModifiedBy>
  <cp:revision>5</cp:revision>
  <dcterms:created xsi:type="dcterms:W3CDTF">2019-08-30T00:03:00Z</dcterms:created>
  <dcterms:modified xsi:type="dcterms:W3CDTF">2020-03-05T19:17:00Z</dcterms:modified>
</cp:coreProperties>
</file>