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8CFE" w14:textId="77777777" w:rsidR="00004A8D" w:rsidRDefault="00004A8D"/>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004A8D" w14:paraId="70426BFC" w14:textId="77777777">
        <w:tc>
          <w:tcPr>
            <w:tcW w:w="9314" w:type="dxa"/>
            <w:shd w:val="clear" w:color="auto" w:fill="DBE5F1"/>
          </w:tcPr>
          <w:p w14:paraId="3B6DAAB0" w14:textId="77777777" w:rsidR="00004A8D" w:rsidRDefault="00000000">
            <w:pPr>
              <w:jc w:val="center"/>
              <w:rPr>
                <w:rFonts w:cs="Calibri"/>
                <w:b/>
              </w:rPr>
            </w:pPr>
            <w:r>
              <w:rPr>
                <w:rFonts w:cs="Calibri"/>
                <w:b/>
              </w:rPr>
              <w:t>California State University, Fresno</w:t>
            </w:r>
          </w:p>
          <w:p w14:paraId="793A0789" w14:textId="77777777" w:rsidR="00004A8D" w:rsidRDefault="00000000">
            <w:pPr>
              <w:jc w:val="center"/>
              <w:rPr>
                <w:rFonts w:cs="Calibri"/>
                <w:b/>
              </w:rPr>
            </w:pPr>
            <w:r>
              <w:rPr>
                <w:rFonts w:cs="Calibri"/>
                <w:b/>
              </w:rPr>
              <w:t>Lyles College of Engineering</w:t>
            </w:r>
          </w:p>
          <w:p w14:paraId="42401EA9" w14:textId="77777777" w:rsidR="00004A8D" w:rsidRDefault="00000000">
            <w:pPr>
              <w:jc w:val="center"/>
              <w:rPr>
                <w:rFonts w:cs="Calibri"/>
                <w:b/>
              </w:rPr>
            </w:pPr>
            <w:r>
              <w:rPr>
                <w:rFonts w:cs="Calibri"/>
                <w:b/>
              </w:rPr>
              <w:t>Department of Construction Management</w:t>
            </w:r>
          </w:p>
          <w:p w14:paraId="30E51808" w14:textId="77777777" w:rsidR="00004A8D" w:rsidRDefault="00000000">
            <w:pPr>
              <w:jc w:val="center"/>
              <w:rPr>
                <w:rFonts w:cs="Calibri"/>
                <w:b/>
              </w:rPr>
            </w:pPr>
            <w:r>
              <w:rPr>
                <w:rFonts w:cs="Calibri"/>
                <w:b/>
              </w:rPr>
              <w:t>Master of Science in Construction Management</w:t>
            </w:r>
          </w:p>
          <w:p w14:paraId="5FD7AE31" w14:textId="77777777" w:rsidR="00004A8D" w:rsidRDefault="00000000">
            <w:pPr>
              <w:jc w:val="center"/>
              <w:rPr>
                <w:rFonts w:cs="Calibri"/>
                <w:b/>
              </w:rPr>
            </w:pPr>
            <w:r>
              <w:rPr>
                <w:rFonts w:cs="Calibri"/>
                <w:b/>
              </w:rPr>
              <w:t xml:space="preserve">Program Coordinator: </w:t>
            </w:r>
            <w:proofErr w:type="spellStart"/>
            <w:r>
              <w:rPr>
                <w:rFonts w:cs="Calibri"/>
                <w:b/>
              </w:rPr>
              <w:t>Yupeng</w:t>
            </w:r>
            <w:proofErr w:type="spellEnd"/>
            <w:r>
              <w:rPr>
                <w:rFonts w:cs="Calibri"/>
                <w:b/>
              </w:rPr>
              <w:t xml:space="preserve"> Luo</w:t>
            </w:r>
          </w:p>
        </w:tc>
      </w:tr>
      <w:tr w:rsidR="00004A8D" w14:paraId="03CBFE4D" w14:textId="77777777">
        <w:tc>
          <w:tcPr>
            <w:tcW w:w="9314" w:type="dxa"/>
            <w:shd w:val="clear" w:color="auto" w:fill="244061"/>
          </w:tcPr>
          <w:p w14:paraId="3F3588C0" w14:textId="77777777" w:rsidR="00004A8D" w:rsidRDefault="00000000">
            <w:pPr>
              <w:rPr>
                <w:rFonts w:cs="Calibri"/>
                <w:b/>
              </w:rPr>
            </w:pPr>
            <w:r>
              <w:rPr>
                <w:rFonts w:cs="Calibri"/>
                <w:b/>
              </w:rPr>
              <w:t>Student Outcomes Assessment Plan (SOAP)</w:t>
            </w:r>
          </w:p>
        </w:tc>
      </w:tr>
      <w:tr w:rsidR="00004A8D" w14:paraId="252EB2FE" w14:textId="77777777">
        <w:tc>
          <w:tcPr>
            <w:tcW w:w="9314" w:type="dxa"/>
            <w:shd w:val="clear" w:color="auto" w:fill="DBE5F1"/>
          </w:tcPr>
          <w:p w14:paraId="43E78D90" w14:textId="77777777" w:rsidR="00004A8D" w:rsidRDefault="00000000">
            <w:pPr>
              <w:pStyle w:val="Heading2"/>
              <w:numPr>
                <w:ilvl w:val="0"/>
                <w:numId w:val="2"/>
              </w:numPr>
            </w:pPr>
            <w:r>
              <w:t>Mission Statement</w:t>
            </w:r>
          </w:p>
        </w:tc>
      </w:tr>
      <w:tr w:rsidR="00004A8D" w14:paraId="016BF039" w14:textId="77777777">
        <w:trPr>
          <w:trHeight w:val="713"/>
        </w:trPr>
        <w:tc>
          <w:tcPr>
            <w:tcW w:w="9314" w:type="dxa"/>
          </w:tcPr>
          <w:p w14:paraId="0B958069" w14:textId="77777777" w:rsidR="00004A8D" w:rsidRDefault="00000000">
            <w:pPr>
              <w:rPr>
                <w:rFonts w:ascii="Times New Roman" w:eastAsia="Times New Roman" w:hAnsi="Times New Roman"/>
                <w:sz w:val="24"/>
                <w:szCs w:val="24"/>
              </w:rPr>
            </w:pPr>
            <w:r>
              <w:rPr>
                <w:rFonts w:ascii="Times New Roman" w:eastAsia="Times New Roman" w:hAnsi="Times New Roman"/>
                <w:sz w:val="24"/>
                <w:szCs w:val="24"/>
              </w:rPr>
              <w:t>The mission of the Department of Construction Management is to “</w:t>
            </w:r>
            <w:r>
              <w:rPr>
                <w:rFonts w:ascii="Times New Roman" w:eastAsia="Times New Roman" w:hAnsi="Times New Roman"/>
                <w:b/>
                <w:i/>
                <w:sz w:val="24"/>
                <w:szCs w:val="24"/>
              </w:rPr>
              <w:t>develop professionals, build leaders, and sustain learners for the architecture, engineering and construction (AEC) industry</w:t>
            </w:r>
            <w:r>
              <w:rPr>
                <w:rFonts w:ascii="Times New Roman" w:eastAsia="Times New Roman" w:hAnsi="Times New Roman"/>
                <w:sz w:val="24"/>
                <w:szCs w:val="24"/>
              </w:rPr>
              <w:t>”. The vision of the Department of Construction Management is to “</w:t>
            </w:r>
            <w:r>
              <w:rPr>
                <w:rFonts w:ascii="Times New Roman" w:eastAsia="Times New Roman" w:hAnsi="Times New Roman"/>
                <w:b/>
                <w:i/>
                <w:sz w:val="24"/>
                <w:szCs w:val="24"/>
              </w:rPr>
              <w:t>build prominent engaged leaders in the regional, national, and international construction industries</w:t>
            </w:r>
            <w:r>
              <w:rPr>
                <w:rFonts w:ascii="Times New Roman" w:eastAsia="Times New Roman" w:hAnsi="Times New Roman"/>
                <w:sz w:val="24"/>
                <w:szCs w:val="24"/>
              </w:rPr>
              <w:t>”.</w:t>
            </w:r>
          </w:p>
        </w:tc>
      </w:tr>
    </w:tbl>
    <w:p w14:paraId="24EB7767" w14:textId="77777777" w:rsidR="00004A8D" w:rsidRDefault="00004A8D"/>
    <w:p w14:paraId="785062D6" w14:textId="77777777" w:rsidR="00004A8D" w:rsidRDefault="00000000">
      <w:pPr>
        <w:pStyle w:val="Heading2"/>
        <w:numPr>
          <w:ilvl w:val="0"/>
          <w:numId w:val="2"/>
        </w:numPr>
      </w:pPr>
      <w:r>
        <w:t xml:space="preserve">Institutional Learning Outcomes, Program Learning Outcomes/Goals, and SLO’s </w:t>
      </w:r>
    </w:p>
    <w:p w14:paraId="3EECAED4" w14:textId="77777777" w:rsidR="00004A8D" w:rsidRDefault="00000000">
      <w:pPr>
        <w:numPr>
          <w:ilvl w:val="1"/>
          <w:numId w:val="2"/>
        </w:numPr>
        <w:pBdr>
          <w:top w:val="nil"/>
          <w:left w:val="nil"/>
          <w:bottom w:val="nil"/>
          <w:right w:val="nil"/>
          <w:between w:val="nil"/>
        </w:pBdr>
        <w:spacing w:after="0"/>
        <w:rPr>
          <w:rFonts w:cs="Calibri"/>
          <w:color w:val="000000"/>
        </w:rPr>
      </w:pPr>
      <w:r>
        <w:rPr>
          <w:rFonts w:cs="Calibri"/>
          <w:color w:val="000000"/>
        </w:rPr>
        <w:t xml:space="preserve">Institutional Learning Outcomes. </w:t>
      </w:r>
    </w:p>
    <w:p w14:paraId="18FBDFA6" w14:textId="77777777" w:rsidR="00004A8D" w:rsidRDefault="00000000">
      <w:pPr>
        <w:pBdr>
          <w:top w:val="nil"/>
          <w:left w:val="nil"/>
          <w:bottom w:val="nil"/>
          <w:right w:val="nil"/>
          <w:between w:val="nil"/>
        </w:pBdr>
        <w:spacing w:after="0"/>
        <w:ind w:left="720"/>
        <w:rPr>
          <w:rFonts w:cs="Calibri"/>
          <w:color w:val="000000"/>
        </w:rPr>
      </w:pPr>
      <w:r>
        <w:t>Students</w:t>
      </w:r>
      <w:r>
        <w:rPr>
          <w:rFonts w:cs="Calibri"/>
          <w:color w:val="000000"/>
        </w:rPr>
        <w:t xml:space="preserve"> who graduate from California State University, Fresno will demonstrate the importance of discovery, diversity, and distinction by the following:</w:t>
      </w:r>
    </w:p>
    <w:p w14:paraId="11BF949C"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1. Developing a foundational, broad</w:t>
      </w:r>
      <w:r>
        <w:t>,</w:t>
      </w:r>
      <w:r>
        <w:rPr>
          <w:rFonts w:cs="Calibri"/>
          <w:color w:val="000000"/>
        </w:rPr>
        <w:t xml:space="preserve"> and integrative knowledge of the humanities, the arts, the sciences, and social sciences, and their integration with their major field of study.</w:t>
      </w:r>
    </w:p>
    <w:p w14:paraId="7DB4EC13"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2. Acquiring specialized knowledge as identified by program learning outcomes in their major field.</w:t>
      </w:r>
    </w:p>
    <w:p w14:paraId="20D19914"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3. Improving intellectual skills including critical thinking, effective oral and written communication, information literacy</w:t>
      </w:r>
      <w:r>
        <w:t>,</w:t>
      </w:r>
      <w:r>
        <w:rPr>
          <w:rFonts w:cs="Calibri"/>
          <w:color w:val="000000"/>
        </w:rPr>
        <w:t xml:space="preserve"> and quantitative reasoning.</w:t>
      </w:r>
    </w:p>
    <w:p w14:paraId="23EA57A1"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 xml:space="preserve">4. Applying knowledge by integrating theory, practice, and </w:t>
      </w:r>
      <w:r>
        <w:t>problem-solving</w:t>
      </w:r>
      <w:r>
        <w:rPr>
          <w:rFonts w:cs="Calibri"/>
          <w:color w:val="000000"/>
        </w:rPr>
        <w:t xml:space="preserve"> to address </w:t>
      </w:r>
      <w:r>
        <w:t>real-world</w:t>
      </w:r>
      <w:r>
        <w:rPr>
          <w:rFonts w:cs="Calibri"/>
          <w:color w:val="000000"/>
        </w:rPr>
        <w:t xml:space="preserve"> issues using both individual and team approaches.</w:t>
      </w:r>
    </w:p>
    <w:p w14:paraId="70307A47"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5. Exemplifying equity, ethics, and engagement.</w:t>
      </w:r>
    </w:p>
    <w:p w14:paraId="0ECFD7E1" w14:textId="77777777" w:rsidR="00004A8D" w:rsidRDefault="00000000">
      <w:pPr>
        <w:numPr>
          <w:ilvl w:val="1"/>
          <w:numId w:val="2"/>
        </w:numPr>
        <w:pBdr>
          <w:top w:val="nil"/>
          <w:left w:val="nil"/>
          <w:bottom w:val="nil"/>
          <w:right w:val="nil"/>
          <w:between w:val="nil"/>
        </w:pBdr>
        <w:spacing w:after="0"/>
      </w:pPr>
      <w:r>
        <w:rPr>
          <w:rFonts w:cs="Calibri"/>
          <w:color w:val="000000"/>
        </w:rPr>
        <w:t>Program Learning Outcomes (PLOs) / Student Learning Outcomes (SLOs)</w:t>
      </w:r>
    </w:p>
    <w:p w14:paraId="56997D5F"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 xml:space="preserve">The following are the seven PLOs/SLOs for the MSCM program. </w:t>
      </w:r>
    </w:p>
    <w:p w14:paraId="596B8CE9" w14:textId="77777777" w:rsidR="00004A8D" w:rsidRDefault="00000000">
      <w:pPr>
        <w:numPr>
          <w:ilvl w:val="0"/>
          <w:numId w:val="1"/>
        </w:numPr>
        <w:pBdr>
          <w:top w:val="nil"/>
          <w:left w:val="nil"/>
          <w:bottom w:val="nil"/>
          <w:right w:val="nil"/>
          <w:between w:val="nil"/>
        </w:pBdr>
        <w:spacing w:after="0"/>
      </w:pPr>
      <w:r>
        <w:rPr>
          <w:rFonts w:cs="Calibri"/>
          <w:color w:val="000000"/>
        </w:rPr>
        <w:t>Demonstrate problem-solving and decision-making in construction management.</w:t>
      </w:r>
    </w:p>
    <w:p w14:paraId="0E09B9F6" w14:textId="77777777" w:rsidR="00004A8D" w:rsidRDefault="00000000">
      <w:pPr>
        <w:numPr>
          <w:ilvl w:val="0"/>
          <w:numId w:val="1"/>
        </w:numPr>
        <w:pBdr>
          <w:top w:val="nil"/>
          <w:left w:val="nil"/>
          <w:bottom w:val="nil"/>
          <w:right w:val="nil"/>
          <w:between w:val="nil"/>
        </w:pBdr>
        <w:spacing w:after="0"/>
      </w:pPr>
      <w:r>
        <w:rPr>
          <w:rFonts w:cs="Calibri"/>
          <w:color w:val="000000"/>
        </w:rPr>
        <w:t>Create effective and professional oral and written communications appropriate to the construction discipline.</w:t>
      </w:r>
    </w:p>
    <w:p w14:paraId="262FDAC0" w14:textId="77777777" w:rsidR="00004A8D" w:rsidRDefault="00000000">
      <w:pPr>
        <w:numPr>
          <w:ilvl w:val="0"/>
          <w:numId w:val="1"/>
        </w:numPr>
        <w:pBdr>
          <w:top w:val="nil"/>
          <w:left w:val="nil"/>
          <w:bottom w:val="nil"/>
          <w:right w:val="nil"/>
          <w:between w:val="nil"/>
        </w:pBdr>
        <w:spacing w:after="0"/>
      </w:pPr>
      <w:r>
        <w:rPr>
          <w:rFonts w:cs="Calibri"/>
          <w:color w:val="000000"/>
        </w:rPr>
        <w:t>Apply technologies, innovations, and processes to construction management.</w:t>
      </w:r>
    </w:p>
    <w:p w14:paraId="14E7BD10" w14:textId="77777777" w:rsidR="00004A8D" w:rsidRDefault="00000000">
      <w:pPr>
        <w:numPr>
          <w:ilvl w:val="0"/>
          <w:numId w:val="1"/>
        </w:numPr>
        <w:pBdr>
          <w:top w:val="nil"/>
          <w:left w:val="nil"/>
          <w:bottom w:val="nil"/>
          <w:right w:val="nil"/>
          <w:between w:val="nil"/>
        </w:pBdr>
        <w:spacing w:after="0"/>
      </w:pPr>
      <w:r>
        <w:rPr>
          <w:rFonts w:cs="Calibri"/>
          <w:color w:val="000000"/>
        </w:rPr>
        <w:lastRenderedPageBreak/>
        <w:t>Demonstrate understanding of principles of leadership in business and construction management.</w:t>
      </w:r>
    </w:p>
    <w:p w14:paraId="194CC2F7" w14:textId="77777777" w:rsidR="00004A8D" w:rsidRDefault="00000000">
      <w:pPr>
        <w:numPr>
          <w:ilvl w:val="0"/>
          <w:numId w:val="1"/>
        </w:numPr>
        <w:pBdr>
          <w:top w:val="nil"/>
          <w:left w:val="nil"/>
          <w:bottom w:val="nil"/>
          <w:right w:val="nil"/>
          <w:between w:val="nil"/>
        </w:pBdr>
        <w:spacing w:after="0"/>
      </w:pPr>
      <w:r>
        <w:rPr>
          <w:rFonts w:cs="Calibri"/>
          <w:color w:val="000000"/>
        </w:rPr>
        <w:t>Evaluate professional decisions based on ethical principles in the construction industry.</w:t>
      </w:r>
    </w:p>
    <w:p w14:paraId="30E04164" w14:textId="77777777" w:rsidR="00004A8D" w:rsidRDefault="00000000">
      <w:pPr>
        <w:numPr>
          <w:ilvl w:val="0"/>
          <w:numId w:val="1"/>
        </w:numPr>
        <w:pBdr>
          <w:top w:val="nil"/>
          <w:left w:val="nil"/>
          <w:bottom w:val="nil"/>
          <w:right w:val="nil"/>
          <w:between w:val="nil"/>
        </w:pBdr>
        <w:spacing w:after="0"/>
      </w:pPr>
      <w:r>
        <w:rPr>
          <w:rFonts w:cs="Calibri"/>
          <w:color w:val="000000"/>
        </w:rPr>
        <w:t>Analyze advanced construction management practices.</w:t>
      </w:r>
    </w:p>
    <w:p w14:paraId="263973FE" w14:textId="77777777" w:rsidR="00004A8D" w:rsidRDefault="00000000">
      <w:pPr>
        <w:numPr>
          <w:ilvl w:val="0"/>
          <w:numId w:val="1"/>
        </w:numPr>
        <w:pBdr>
          <w:top w:val="nil"/>
          <w:left w:val="nil"/>
          <w:bottom w:val="nil"/>
          <w:right w:val="nil"/>
          <w:between w:val="nil"/>
        </w:pBdr>
      </w:pPr>
      <w:r>
        <w:rPr>
          <w:rFonts w:cs="Calibri"/>
          <w:color w:val="000000"/>
        </w:rPr>
        <w:t>Apply basic research methods in construction management.</w:t>
      </w:r>
    </w:p>
    <w:p w14:paraId="0523A8E0" w14:textId="77777777" w:rsidR="00004A8D" w:rsidRDefault="00000000">
      <w:pPr>
        <w:pStyle w:val="Heading2"/>
        <w:numPr>
          <w:ilvl w:val="0"/>
          <w:numId w:val="2"/>
        </w:numPr>
      </w:pPr>
      <w:r>
        <w:t>Curriculum Map [d]: Courses in which SLO’s are addressed and evaluated</w:t>
      </w:r>
    </w:p>
    <w:p w14:paraId="4412456F" w14:textId="77777777" w:rsidR="00004A8D" w:rsidRDefault="00000000">
      <w:r>
        <w:t xml:space="preserve">A comprehensive mapping was conducted to allocate the PLOs assessment effort to relevant courses. The complete mapping is summarized below in Table 1. The PLOs will be assessed at different levels in these courses, which </w:t>
      </w:r>
      <w:proofErr w:type="gramStart"/>
      <w:r>
        <w:t>include:</w:t>
      </w:r>
      <w:proofErr w:type="gramEnd"/>
      <w:r>
        <w:t xml:space="preserve"> I = Introduced, D = Developed, and M = Mastered. Courses that are used to assess the allocated PLOs directly will be labeled with Direct Assessment (DA).  Assessment of outcomes will be carried out systematically every two years. </w:t>
      </w:r>
    </w:p>
    <w:p w14:paraId="0BFE85AD" w14:textId="77777777" w:rsidR="00004A8D" w:rsidRDefault="00000000">
      <w:r>
        <w:t>Table 1. MSCM PLOs and Course Mapping</w:t>
      </w:r>
    </w:p>
    <w:tbl>
      <w:tblPr>
        <w:tblStyle w:val="a0"/>
        <w:tblW w:w="794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993"/>
        <w:gridCol w:w="993"/>
        <w:gridCol w:w="993"/>
        <w:gridCol w:w="993"/>
        <w:gridCol w:w="993"/>
        <w:gridCol w:w="993"/>
        <w:gridCol w:w="993"/>
      </w:tblGrid>
      <w:tr w:rsidR="00004A8D" w14:paraId="7C4D2A02" w14:textId="77777777">
        <w:trPr>
          <w:tblHeader/>
        </w:trPr>
        <w:tc>
          <w:tcPr>
            <w:tcW w:w="999" w:type="dxa"/>
          </w:tcPr>
          <w:p w14:paraId="3E5AE2DD" w14:textId="77777777" w:rsidR="00004A8D" w:rsidRDefault="00004A8D"/>
        </w:tc>
        <w:tc>
          <w:tcPr>
            <w:tcW w:w="993" w:type="dxa"/>
          </w:tcPr>
          <w:p w14:paraId="3FBE07C9" w14:textId="77777777" w:rsidR="00004A8D" w:rsidRDefault="00000000">
            <w:pPr>
              <w:jc w:val="center"/>
            </w:pPr>
            <w:r>
              <w:t>PLO</w:t>
            </w:r>
          </w:p>
        </w:tc>
        <w:tc>
          <w:tcPr>
            <w:tcW w:w="993" w:type="dxa"/>
          </w:tcPr>
          <w:p w14:paraId="783D7924" w14:textId="77777777" w:rsidR="00004A8D" w:rsidRDefault="00000000">
            <w:pPr>
              <w:jc w:val="center"/>
            </w:pPr>
            <w:r>
              <w:t>PLO</w:t>
            </w:r>
          </w:p>
        </w:tc>
        <w:tc>
          <w:tcPr>
            <w:tcW w:w="993" w:type="dxa"/>
          </w:tcPr>
          <w:p w14:paraId="695D5316" w14:textId="77777777" w:rsidR="00004A8D" w:rsidRDefault="00000000">
            <w:pPr>
              <w:jc w:val="center"/>
            </w:pPr>
            <w:r>
              <w:t>PLO</w:t>
            </w:r>
          </w:p>
        </w:tc>
        <w:tc>
          <w:tcPr>
            <w:tcW w:w="993" w:type="dxa"/>
          </w:tcPr>
          <w:p w14:paraId="3C495A52" w14:textId="77777777" w:rsidR="00004A8D" w:rsidRDefault="00000000">
            <w:pPr>
              <w:jc w:val="center"/>
            </w:pPr>
            <w:r>
              <w:t>PLO</w:t>
            </w:r>
          </w:p>
        </w:tc>
        <w:tc>
          <w:tcPr>
            <w:tcW w:w="993" w:type="dxa"/>
          </w:tcPr>
          <w:p w14:paraId="651AC1C5" w14:textId="77777777" w:rsidR="00004A8D" w:rsidRDefault="00000000">
            <w:pPr>
              <w:jc w:val="center"/>
            </w:pPr>
            <w:r>
              <w:t>PLO</w:t>
            </w:r>
          </w:p>
        </w:tc>
        <w:tc>
          <w:tcPr>
            <w:tcW w:w="993" w:type="dxa"/>
          </w:tcPr>
          <w:p w14:paraId="4E88956E" w14:textId="77777777" w:rsidR="00004A8D" w:rsidRDefault="00000000">
            <w:pPr>
              <w:jc w:val="center"/>
            </w:pPr>
            <w:r>
              <w:t>PLO</w:t>
            </w:r>
          </w:p>
        </w:tc>
        <w:tc>
          <w:tcPr>
            <w:tcW w:w="993" w:type="dxa"/>
          </w:tcPr>
          <w:p w14:paraId="68D98842" w14:textId="77777777" w:rsidR="00004A8D" w:rsidRDefault="00000000">
            <w:pPr>
              <w:jc w:val="center"/>
            </w:pPr>
            <w:r>
              <w:t>PLO</w:t>
            </w:r>
          </w:p>
        </w:tc>
      </w:tr>
      <w:tr w:rsidR="00004A8D" w14:paraId="222CF833" w14:textId="77777777">
        <w:tc>
          <w:tcPr>
            <w:tcW w:w="999" w:type="dxa"/>
          </w:tcPr>
          <w:p w14:paraId="37518D5B" w14:textId="77777777" w:rsidR="00004A8D" w:rsidRDefault="00000000">
            <w:pPr>
              <w:jc w:val="center"/>
            </w:pPr>
            <w:r>
              <w:t>Course</w:t>
            </w:r>
          </w:p>
        </w:tc>
        <w:tc>
          <w:tcPr>
            <w:tcW w:w="993" w:type="dxa"/>
          </w:tcPr>
          <w:p w14:paraId="4EA8B4FF" w14:textId="77777777" w:rsidR="00004A8D" w:rsidRDefault="00000000">
            <w:pPr>
              <w:jc w:val="center"/>
            </w:pPr>
            <w:r>
              <w:t>1</w:t>
            </w:r>
          </w:p>
        </w:tc>
        <w:tc>
          <w:tcPr>
            <w:tcW w:w="993" w:type="dxa"/>
          </w:tcPr>
          <w:p w14:paraId="39348BC7" w14:textId="77777777" w:rsidR="00004A8D" w:rsidRDefault="00000000">
            <w:pPr>
              <w:jc w:val="center"/>
            </w:pPr>
            <w:r>
              <w:t>2</w:t>
            </w:r>
          </w:p>
        </w:tc>
        <w:tc>
          <w:tcPr>
            <w:tcW w:w="993" w:type="dxa"/>
          </w:tcPr>
          <w:p w14:paraId="2FE335C6" w14:textId="77777777" w:rsidR="00004A8D" w:rsidRDefault="00000000">
            <w:pPr>
              <w:jc w:val="center"/>
            </w:pPr>
            <w:r>
              <w:t>3</w:t>
            </w:r>
          </w:p>
        </w:tc>
        <w:tc>
          <w:tcPr>
            <w:tcW w:w="993" w:type="dxa"/>
          </w:tcPr>
          <w:p w14:paraId="3A92B6A9" w14:textId="77777777" w:rsidR="00004A8D" w:rsidRDefault="00000000">
            <w:pPr>
              <w:jc w:val="center"/>
            </w:pPr>
            <w:r>
              <w:t>4</w:t>
            </w:r>
          </w:p>
        </w:tc>
        <w:tc>
          <w:tcPr>
            <w:tcW w:w="993" w:type="dxa"/>
          </w:tcPr>
          <w:p w14:paraId="2976410C" w14:textId="77777777" w:rsidR="00004A8D" w:rsidRDefault="00000000">
            <w:pPr>
              <w:jc w:val="center"/>
            </w:pPr>
            <w:r>
              <w:t>5</w:t>
            </w:r>
          </w:p>
        </w:tc>
        <w:tc>
          <w:tcPr>
            <w:tcW w:w="993" w:type="dxa"/>
          </w:tcPr>
          <w:p w14:paraId="38AA200F" w14:textId="77777777" w:rsidR="00004A8D" w:rsidRDefault="00000000">
            <w:pPr>
              <w:jc w:val="center"/>
            </w:pPr>
            <w:r>
              <w:t>6</w:t>
            </w:r>
          </w:p>
        </w:tc>
        <w:tc>
          <w:tcPr>
            <w:tcW w:w="993" w:type="dxa"/>
          </w:tcPr>
          <w:p w14:paraId="719CA9DA" w14:textId="77777777" w:rsidR="00004A8D" w:rsidRDefault="00000000">
            <w:pPr>
              <w:jc w:val="center"/>
            </w:pPr>
            <w:r>
              <w:t>7</w:t>
            </w:r>
          </w:p>
        </w:tc>
      </w:tr>
      <w:tr w:rsidR="00004A8D" w14:paraId="186AE8ED" w14:textId="77777777">
        <w:tc>
          <w:tcPr>
            <w:tcW w:w="999" w:type="dxa"/>
          </w:tcPr>
          <w:p w14:paraId="323A7480" w14:textId="77777777" w:rsidR="00004A8D" w:rsidRDefault="00000000">
            <w:pPr>
              <w:jc w:val="center"/>
            </w:pPr>
            <w:r>
              <w:t>CM220</w:t>
            </w:r>
          </w:p>
        </w:tc>
        <w:tc>
          <w:tcPr>
            <w:tcW w:w="993" w:type="dxa"/>
          </w:tcPr>
          <w:p w14:paraId="07942048" w14:textId="77777777" w:rsidR="00004A8D" w:rsidRDefault="00000000">
            <w:pPr>
              <w:jc w:val="center"/>
            </w:pPr>
            <w:r>
              <w:t xml:space="preserve">M (DA)  </w:t>
            </w:r>
          </w:p>
        </w:tc>
        <w:tc>
          <w:tcPr>
            <w:tcW w:w="993" w:type="dxa"/>
          </w:tcPr>
          <w:p w14:paraId="58A70C19" w14:textId="77777777" w:rsidR="00004A8D" w:rsidRDefault="00000000">
            <w:pPr>
              <w:jc w:val="center"/>
            </w:pPr>
            <w:r>
              <w:t>D</w:t>
            </w:r>
          </w:p>
        </w:tc>
        <w:tc>
          <w:tcPr>
            <w:tcW w:w="993" w:type="dxa"/>
          </w:tcPr>
          <w:p w14:paraId="1B87FFCA" w14:textId="77777777" w:rsidR="00004A8D" w:rsidRDefault="00000000">
            <w:pPr>
              <w:jc w:val="center"/>
            </w:pPr>
            <w:r>
              <w:t>I (DA)</w:t>
            </w:r>
          </w:p>
        </w:tc>
        <w:tc>
          <w:tcPr>
            <w:tcW w:w="993" w:type="dxa"/>
          </w:tcPr>
          <w:p w14:paraId="4B6CA0A7" w14:textId="77777777" w:rsidR="00004A8D" w:rsidRDefault="00004A8D">
            <w:pPr>
              <w:jc w:val="center"/>
            </w:pPr>
          </w:p>
        </w:tc>
        <w:tc>
          <w:tcPr>
            <w:tcW w:w="993" w:type="dxa"/>
          </w:tcPr>
          <w:p w14:paraId="215C1052" w14:textId="77777777" w:rsidR="00004A8D" w:rsidRDefault="00004A8D">
            <w:pPr>
              <w:jc w:val="center"/>
            </w:pPr>
          </w:p>
        </w:tc>
        <w:tc>
          <w:tcPr>
            <w:tcW w:w="993" w:type="dxa"/>
          </w:tcPr>
          <w:p w14:paraId="63EAD19C" w14:textId="77777777" w:rsidR="00004A8D" w:rsidRDefault="00004A8D">
            <w:pPr>
              <w:jc w:val="center"/>
            </w:pPr>
          </w:p>
        </w:tc>
        <w:tc>
          <w:tcPr>
            <w:tcW w:w="993" w:type="dxa"/>
          </w:tcPr>
          <w:p w14:paraId="427833E0" w14:textId="77777777" w:rsidR="00004A8D" w:rsidRDefault="00004A8D">
            <w:pPr>
              <w:jc w:val="center"/>
            </w:pPr>
          </w:p>
        </w:tc>
      </w:tr>
      <w:tr w:rsidR="00004A8D" w14:paraId="16401DE5" w14:textId="77777777">
        <w:tc>
          <w:tcPr>
            <w:tcW w:w="999" w:type="dxa"/>
          </w:tcPr>
          <w:p w14:paraId="587689B0" w14:textId="77777777" w:rsidR="00004A8D" w:rsidRDefault="00000000">
            <w:pPr>
              <w:jc w:val="center"/>
            </w:pPr>
            <w:r>
              <w:t>CM230</w:t>
            </w:r>
          </w:p>
        </w:tc>
        <w:tc>
          <w:tcPr>
            <w:tcW w:w="993" w:type="dxa"/>
          </w:tcPr>
          <w:p w14:paraId="568D0A9D" w14:textId="77777777" w:rsidR="00004A8D" w:rsidRDefault="00004A8D">
            <w:pPr>
              <w:jc w:val="center"/>
            </w:pPr>
          </w:p>
        </w:tc>
        <w:tc>
          <w:tcPr>
            <w:tcW w:w="993" w:type="dxa"/>
          </w:tcPr>
          <w:p w14:paraId="7BDD1587" w14:textId="77777777" w:rsidR="00004A8D" w:rsidRDefault="00004A8D">
            <w:pPr>
              <w:jc w:val="center"/>
            </w:pPr>
          </w:p>
        </w:tc>
        <w:tc>
          <w:tcPr>
            <w:tcW w:w="993" w:type="dxa"/>
          </w:tcPr>
          <w:p w14:paraId="6B8FDCD8" w14:textId="77777777" w:rsidR="00004A8D" w:rsidRDefault="00000000">
            <w:pPr>
              <w:jc w:val="center"/>
            </w:pPr>
            <w:r>
              <w:t>D</w:t>
            </w:r>
          </w:p>
        </w:tc>
        <w:tc>
          <w:tcPr>
            <w:tcW w:w="993" w:type="dxa"/>
          </w:tcPr>
          <w:p w14:paraId="09182D9A" w14:textId="77777777" w:rsidR="00004A8D" w:rsidRDefault="00000000">
            <w:pPr>
              <w:jc w:val="center"/>
            </w:pPr>
            <w:r>
              <w:t>I (DA)</w:t>
            </w:r>
          </w:p>
        </w:tc>
        <w:tc>
          <w:tcPr>
            <w:tcW w:w="993" w:type="dxa"/>
          </w:tcPr>
          <w:p w14:paraId="7F9A2C68" w14:textId="77777777" w:rsidR="00004A8D" w:rsidRDefault="00004A8D">
            <w:pPr>
              <w:jc w:val="center"/>
            </w:pPr>
          </w:p>
        </w:tc>
        <w:tc>
          <w:tcPr>
            <w:tcW w:w="993" w:type="dxa"/>
          </w:tcPr>
          <w:p w14:paraId="58A68C37" w14:textId="77777777" w:rsidR="00004A8D" w:rsidRDefault="00000000">
            <w:pPr>
              <w:jc w:val="center"/>
            </w:pPr>
            <w:r>
              <w:t>D (DA)</w:t>
            </w:r>
          </w:p>
        </w:tc>
        <w:tc>
          <w:tcPr>
            <w:tcW w:w="993" w:type="dxa"/>
          </w:tcPr>
          <w:p w14:paraId="085DEC55" w14:textId="77777777" w:rsidR="00004A8D" w:rsidRDefault="00004A8D">
            <w:pPr>
              <w:jc w:val="center"/>
            </w:pPr>
          </w:p>
        </w:tc>
      </w:tr>
      <w:tr w:rsidR="00004A8D" w14:paraId="54A42043" w14:textId="77777777">
        <w:tc>
          <w:tcPr>
            <w:tcW w:w="999" w:type="dxa"/>
          </w:tcPr>
          <w:p w14:paraId="34C7A9B1" w14:textId="77777777" w:rsidR="00004A8D" w:rsidRDefault="00000000">
            <w:pPr>
              <w:jc w:val="center"/>
            </w:pPr>
            <w:r>
              <w:t>CM240</w:t>
            </w:r>
          </w:p>
        </w:tc>
        <w:tc>
          <w:tcPr>
            <w:tcW w:w="993" w:type="dxa"/>
          </w:tcPr>
          <w:p w14:paraId="6AC5BA6C" w14:textId="77777777" w:rsidR="00004A8D" w:rsidRDefault="00004A8D">
            <w:pPr>
              <w:jc w:val="center"/>
            </w:pPr>
          </w:p>
        </w:tc>
        <w:tc>
          <w:tcPr>
            <w:tcW w:w="993" w:type="dxa"/>
          </w:tcPr>
          <w:p w14:paraId="3E8DBA3E" w14:textId="77777777" w:rsidR="00004A8D" w:rsidRDefault="00000000">
            <w:pPr>
              <w:jc w:val="center"/>
            </w:pPr>
            <w:r>
              <w:t>D (DA)</w:t>
            </w:r>
          </w:p>
        </w:tc>
        <w:tc>
          <w:tcPr>
            <w:tcW w:w="993" w:type="dxa"/>
          </w:tcPr>
          <w:p w14:paraId="5E2EC3D9" w14:textId="77777777" w:rsidR="00004A8D" w:rsidRDefault="00004A8D">
            <w:pPr>
              <w:jc w:val="center"/>
            </w:pPr>
          </w:p>
        </w:tc>
        <w:tc>
          <w:tcPr>
            <w:tcW w:w="993" w:type="dxa"/>
          </w:tcPr>
          <w:p w14:paraId="431C482E" w14:textId="77777777" w:rsidR="00004A8D" w:rsidRDefault="00000000">
            <w:pPr>
              <w:jc w:val="center"/>
            </w:pPr>
            <w:r>
              <w:t>D</w:t>
            </w:r>
          </w:p>
        </w:tc>
        <w:tc>
          <w:tcPr>
            <w:tcW w:w="993" w:type="dxa"/>
          </w:tcPr>
          <w:p w14:paraId="2F09D937" w14:textId="77777777" w:rsidR="00004A8D" w:rsidRDefault="00000000">
            <w:pPr>
              <w:jc w:val="center"/>
            </w:pPr>
            <w:r>
              <w:t>D (DA)</w:t>
            </w:r>
          </w:p>
        </w:tc>
        <w:tc>
          <w:tcPr>
            <w:tcW w:w="993" w:type="dxa"/>
          </w:tcPr>
          <w:p w14:paraId="27DED7EB" w14:textId="77777777" w:rsidR="00004A8D" w:rsidRDefault="00004A8D">
            <w:pPr>
              <w:jc w:val="center"/>
            </w:pPr>
          </w:p>
        </w:tc>
        <w:tc>
          <w:tcPr>
            <w:tcW w:w="993" w:type="dxa"/>
          </w:tcPr>
          <w:p w14:paraId="2B0E0A0B" w14:textId="77777777" w:rsidR="00004A8D" w:rsidRDefault="00004A8D">
            <w:pPr>
              <w:jc w:val="center"/>
            </w:pPr>
          </w:p>
        </w:tc>
      </w:tr>
      <w:tr w:rsidR="00004A8D" w14:paraId="4090B7B9" w14:textId="77777777">
        <w:tc>
          <w:tcPr>
            <w:tcW w:w="999" w:type="dxa"/>
          </w:tcPr>
          <w:p w14:paraId="37768321" w14:textId="77777777" w:rsidR="00004A8D" w:rsidRDefault="00000000">
            <w:pPr>
              <w:jc w:val="center"/>
            </w:pPr>
            <w:r>
              <w:t>CE210/</w:t>
            </w:r>
          </w:p>
          <w:p w14:paraId="58916C31" w14:textId="77777777" w:rsidR="00004A8D" w:rsidRDefault="00000000">
            <w:pPr>
              <w:jc w:val="center"/>
            </w:pPr>
            <w:r>
              <w:t>CM210</w:t>
            </w:r>
          </w:p>
        </w:tc>
        <w:tc>
          <w:tcPr>
            <w:tcW w:w="993" w:type="dxa"/>
          </w:tcPr>
          <w:p w14:paraId="5DF08085" w14:textId="77777777" w:rsidR="00004A8D" w:rsidRDefault="00004A8D">
            <w:pPr>
              <w:jc w:val="center"/>
            </w:pPr>
          </w:p>
        </w:tc>
        <w:tc>
          <w:tcPr>
            <w:tcW w:w="993" w:type="dxa"/>
          </w:tcPr>
          <w:p w14:paraId="6E7F5DA8" w14:textId="77777777" w:rsidR="00004A8D" w:rsidRDefault="00000000">
            <w:pPr>
              <w:jc w:val="center"/>
            </w:pPr>
            <w:r>
              <w:t xml:space="preserve">M </w:t>
            </w:r>
          </w:p>
        </w:tc>
        <w:tc>
          <w:tcPr>
            <w:tcW w:w="993" w:type="dxa"/>
          </w:tcPr>
          <w:p w14:paraId="2738F317" w14:textId="77777777" w:rsidR="00004A8D" w:rsidRDefault="00004A8D">
            <w:pPr>
              <w:jc w:val="center"/>
            </w:pPr>
          </w:p>
        </w:tc>
        <w:tc>
          <w:tcPr>
            <w:tcW w:w="993" w:type="dxa"/>
          </w:tcPr>
          <w:p w14:paraId="4ED272FA" w14:textId="77777777" w:rsidR="00004A8D" w:rsidRDefault="00004A8D">
            <w:pPr>
              <w:jc w:val="center"/>
            </w:pPr>
          </w:p>
        </w:tc>
        <w:tc>
          <w:tcPr>
            <w:tcW w:w="993" w:type="dxa"/>
          </w:tcPr>
          <w:p w14:paraId="7A91AE71" w14:textId="77777777" w:rsidR="00004A8D" w:rsidRDefault="00004A8D">
            <w:pPr>
              <w:jc w:val="center"/>
            </w:pPr>
          </w:p>
        </w:tc>
        <w:tc>
          <w:tcPr>
            <w:tcW w:w="993" w:type="dxa"/>
          </w:tcPr>
          <w:p w14:paraId="41DE2C26" w14:textId="77777777" w:rsidR="00004A8D" w:rsidRDefault="00004A8D">
            <w:pPr>
              <w:jc w:val="center"/>
            </w:pPr>
          </w:p>
        </w:tc>
        <w:tc>
          <w:tcPr>
            <w:tcW w:w="993" w:type="dxa"/>
          </w:tcPr>
          <w:p w14:paraId="03507477" w14:textId="77777777" w:rsidR="00004A8D" w:rsidRDefault="00000000">
            <w:pPr>
              <w:jc w:val="center"/>
            </w:pPr>
            <w:r>
              <w:t>I (DA)</w:t>
            </w:r>
          </w:p>
        </w:tc>
      </w:tr>
    </w:tbl>
    <w:p w14:paraId="0AE4FA6C" w14:textId="77777777" w:rsidR="00004A8D" w:rsidRDefault="00004A8D">
      <w:pPr>
        <w:spacing w:after="0"/>
      </w:pPr>
    </w:p>
    <w:p w14:paraId="0D67ACEC" w14:textId="77777777" w:rsidR="00004A8D" w:rsidRDefault="00000000">
      <w:r>
        <w:t xml:space="preserve">By allocating the PLOs to specific courses, it is possible to establish the mapping between these PLOs with specific course Student Learning Outcomes (SLOs). This strategy will help reduce instructors’ assessment </w:t>
      </w:r>
      <w:proofErr w:type="gramStart"/>
      <w:r>
        <w:t>workload, and</w:t>
      </w:r>
      <w:proofErr w:type="gramEnd"/>
      <w:r>
        <w:t xml:space="preserve"> ensure consistency between course level and program level assessment efforts.</w:t>
      </w:r>
    </w:p>
    <w:p w14:paraId="5D61893D" w14:textId="77777777" w:rsidR="00004A8D" w:rsidRDefault="00000000">
      <w:pPr>
        <w:pStyle w:val="Heading2"/>
        <w:numPr>
          <w:ilvl w:val="0"/>
          <w:numId w:val="2"/>
        </w:numPr>
      </w:pPr>
      <w:r>
        <w:t>SLO’s Mapped to Assessment Measures and Methods [e]</w:t>
      </w:r>
    </w:p>
    <w:p w14:paraId="01DAC926" w14:textId="77777777" w:rsidR="00004A8D" w:rsidRDefault="00000000">
      <w:r>
        <w:t xml:space="preserve">Assessment of the PLOs is achieved through formative instruments to measure students’ progress while going through the program, and with summative instruments to measure the students’ level of achievement at the end of the program. Assessment methods are also divided into direct measures and indirect measures. Direct measures are defined here as first-hand objective assessments of student learning. Direct </w:t>
      </w:r>
      <w:proofErr w:type="gramStart"/>
      <w:r>
        <w:t>measure</w:t>
      </w:r>
      <w:proofErr w:type="gramEnd"/>
      <w:r>
        <w:t xml:space="preserve"> instruments are typically implemented by a course instructor. Indirect measures are defined here as subjective assessments of student learning that are typically reported by the student or a third-party.</w:t>
      </w:r>
    </w:p>
    <w:p w14:paraId="41635E11" w14:textId="77777777" w:rsidR="00004A8D" w:rsidRDefault="00000000">
      <w:r>
        <w:t>Table 2 shows a sample course assessment matrix. The primary mechanism for assessing the PLOs is to assess the courses labeled as Direct Assessment with the mapped SLOs with a two-year review cycle.</w:t>
      </w:r>
    </w:p>
    <w:p w14:paraId="1C1C92EA" w14:textId="77777777" w:rsidR="00004A8D" w:rsidRDefault="00000000">
      <w:pPr>
        <w:spacing w:after="0"/>
        <w:rPr>
          <w:rFonts w:cs="Calibri"/>
          <w:color w:val="000000"/>
        </w:rPr>
      </w:pPr>
      <w:r>
        <w:rPr>
          <w:rFonts w:cs="Calibri"/>
          <w:color w:val="000000"/>
        </w:rPr>
        <w:t>Table 2. Course Assessment Matrix</w:t>
      </w:r>
    </w:p>
    <w:p w14:paraId="0F3CD23C" w14:textId="77777777" w:rsidR="00004A8D" w:rsidRDefault="00004A8D">
      <w:pPr>
        <w:spacing w:after="0" w:line="240" w:lineRule="auto"/>
        <w:jc w:val="center"/>
        <w:rPr>
          <w:rFonts w:cs="Calibri"/>
          <w:color w:val="000000"/>
        </w:rPr>
      </w:pPr>
    </w:p>
    <w:tbl>
      <w:tblPr>
        <w:tblStyle w:val="a1"/>
        <w:tblW w:w="8658" w:type="dxa"/>
        <w:tblInd w:w="-113" w:type="dxa"/>
        <w:tblBorders>
          <w:top w:val="nil"/>
          <w:left w:val="nil"/>
          <w:right w:val="nil"/>
        </w:tblBorders>
        <w:tblLayout w:type="fixed"/>
        <w:tblLook w:val="0000" w:firstRow="0" w:lastRow="0" w:firstColumn="0" w:lastColumn="0" w:noHBand="0" w:noVBand="0"/>
      </w:tblPr>
      <w:tblGrid>
        <w:gridCol w:w="863"/>
        <w:gridCol w:w="1003"/>
        <w:gridCol w:w="2303"/>
        <w:gridCol w:w="1879"/>
        <w:gridCol w:w="1260"/>
        <w:gridCol w:w="1350"/>
      </w:tblGrid>
      <w:tr w:rsidR="00004A8D" w14:paraId="31017A15" w14:textId="77777777">
        <w:tc>
          <w:tcPr>
            <w:tcW w:w="863" w:type="dxa"/>
            <w:vMerge w:val="restart"/>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B59F641" w14:textId="77777777" w:rsidR="00004A8D" w:rsidRDefault="00000000">
            <w:pPr>
              <w:spacing w:after="0"/>
              <w:jc w:val="center"/>
              <w:rPr>
                <w:rFonts w:cs="Calibri"/>
                <w:color w:val="000000"/>
              </w:rPr>
            </w:pPr>
            <w:r>
              <w:rPr>
                <w:rFonts w:cs="Calibri"/>
                <w:color w:val="000000"/>
              </w:rPr>
              <w:t>SLOs #</w:t>
            </w:r>
          </w:p>
        </w:tc>
        <w:tc>
          <w:tcPr>
            <w:tcW w:w="1003" w:type="dxa"/>
            <w:vMerge w:val="restart"/>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548E6C4" w14:textId="77777777" w:rsidR="00004A8D" w:rsidRDefault="00000000">
            <w:pPr>
              <w:spacing w:after="0"/>
              <w:jc w:val="center"/>
              <w:rPr>
                <w:rFonts w:cs="Calibri"/>
                <w:color w:val="000000"/>
              </w:rPr>
            </w:pPr>
            <w:r>
              <w:rPr>
                <w:rFonts w:cs="Calibri"/>
                <w:color w:val="000000"/>
              </w:rPr>
              <w:t>PLOs #</w:t>
            </w:r>
          </w:p>
        </w:tc>
        <w:tc>
          <w:tcPr>
            <w:tcW w:w="4182" w:type="dxa"/>
            <w:gridSpan w:val="2"/>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8C9CE29" w14:textId="77777777" w:rsidR="00004A8D" w:rsidRDefault="00000000">
            <w:pPr>
              <w:spacing w:after="0"/>
              <w:jc w:val="center"/>
              <w:rPr>
                <w:rFonts w:cs="Calibri"/>
                <w:color w:val="000000"/>
              </w:rPr>
            </w:pPr>
            <w:r>
              <w:rPr>
                <w:rFonts w:cs="Calibri"/>
                <w:color w:val="000000"/>
              </w:rPr>
              <w:t>Assessment Measures (2 minimum)</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0F6D663" w14:textId="77777777" w:rsidR="00004A8D" w:rsidRDefault="00000000">
            <w:pPr>
              <w:spacing w:after="0"/>
              <w:jc w:val="center"/>
              <w:rPr>
                <w:rFonts w:cs="Calibri"/>
                <w:color w:val="000000"/>
              </w:rPr>
            </w:pPr>
            <w:r>
              <w:rPr>
                <w:rFonts w:cs="Calibri"/>
                <w:color w:val="000000"/>
              </w:rPr>
              <w:t>Minimum Standards</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88B3F20" w14:textId="77777777" w:rsidR="00004A8D" w:rsidRDefault="00000000">
            <w:pPr>
              <w:spacing w:after="0"/>
              <w:jc w:val="center"/>
              <w:rPr>
                <w:rFonts w:cs="Calibri"/>
                <w:color w:val="000000"/>
              </w:rPr>
            </w:pPr>
            <w:r>
              <w:rPr>
                <w:rFonts w:cs="Calibri"/>
                <w:color w:val="000000"/>
              </w:rPr>
              <w:t>Assessment Targets</w:t>
            </w:r>
          </w:p>
        </w:tc>
      </w:tr>
      <w:tr w:rsidR="00004A8D" w14:paraId="4CB4DF72" w14:textId="77777777">
        <w:tc>
          <w:tcPr>
            <w:tcW w:w="863" w:type="dxa"/>
            <w:vMerge/>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0B5333D" w14:textId="77777777" w:rsidR="00004A8D" w:rsidRDefault="00004A8D">
            <w:pPr>
              <w:widowControl w:val="0"/>
              <w:pBdr>
                <w:top w:val="nil"/>
                <w:left w:val="nil"/>
                <w:bottom w:val="nil"/>
                <w:right w:val="nil"/>
                <w:between w:val="nil"/>
              </w:pBdr>
              <w:spacing w:after="0"/>
              <w:rPr>
                <w:rFonts w:cs="Calibri"/>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627B5E72" w14:textId="77777777" w:rsidR="00004A8D" w:rsidRDefault="00004A8D">
            <w:pPr>
              <w:widowControl w:val="0"/>
              <w:pBdr>
                <w:top w:val="nil"/>
                <w:left w:val="nil"/>
                <w:bottom w:val="nil"/>
                <w:right w:val="nil"/>
                <w:between w:val="nil"/>
              </w:pBdr>
              <w:spacing w:after="0"/>
              <w:rPr>
                <w:rFonts w:cs="Calibri"/>
                <w:color w:val="000000"/>
              </w:rPr>
            </w:pPr>
          </w:p>
        </w:tc>
        <w:tc>
          <w:tcPr>
            <w:tcW w:w="230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1E33536" w14:textId="77777777" w:rsidR="00004A8D" w:rsidRDefault="00000000">
            <w:pPr>
              <w:spacing w:after="0"/>
              <w:rPr>
                <w:rFonts w:cs="Calibri"/>
                <w:color w:val="000000"/>
              </w:rPr>
            </w:pPr>
            <w:r>
              <w:rPr>
                <w:rFonts w:cs="Calibri"/>
                <w:color w:val="000000"/>
              </w:rPr>
              <w:t>Direct Measures </w:t>
            </w:r>
          </w:p>
          <w:p w14:paraId="747D2916" w14:textId="77777777" w:rsidR="00004A8D" w:rsidRDefault="00000000">
            <w:pPr>
              <w:spacing w:after="0"/>
              <w:rPr>
                <w:rFonts w:cs="Calibri"/>
                <w:color w:val="000000"/>
              </w:rPr>
            </w:pPr>
            <w:r>
              <w:rPr>
                <w:rFonts w:cs="Calibri"/>
                <w:color w:val="000000"/>
              </w:rPr>
              <w:t>(DM, 1 minimum.)</w:t>
            </w:r>
          </w:p>
        </w:tc>
        <w:tc>
          <w:tcPr>
            <w:tcW w:w="1879"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09E3458" w14:textId="77777777" w:rsidR="00004A8D" w:rsidRDefault="00000000">
            <w:pPr>
              <w:spacing w:after="0"/>
              <w:rPr>
                <w:rFonts w:cs="Calibri"/>
                <w:color w:val="000000"/>
              </w:rPr>
            </w:pPr>
            <w:r>
              <w:rPr>
                <w:rFonts w:cs="Calibri"/>
                <w:color w:val="000000"/>
              </w:rPr>
              <w:t>Indirect Measures (IM)</w:t>
            </w:r>
          </w:p>
        </w:tc>
        <w:tc>
          <w:tcPr>
            <w:tcW w:w="1260" w:type="dxa"/>
            <w:vMerge/>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04AD77A" w14:textId="77777777" w:rsidR="00004A8D" w:rsidRDefault="00004A8D">
            <w:pPr>
              <w:widowControl w:val="0"/>
              <w:pBdr>
                <w:top w:val="nil"/>
                <w:left w:val="nil"/>
                <w:bottom w:val="nil"/>
                <w:right w:val="nil"/>
                <w:between w:val="nil"/>
              </w:pBdr>
              <w:spacing w:after="0"/>
              <w:rPr>
                <w:rFonts w:cs="Calibri"/>
                <w:color w:val="000000"/>
              </w:rPr>
            </w:pPr>
          </w:p>
        </w:tc>
        <w:tc>
          <w:tcPr>
            <w:tcW w:w="1350" w:type="dxa"/>
            <w:vMerge/>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62395669" w14:textId="77777777" w:rsidR="00004A8D" w:rsidRDefault="00004A8D">
            <w:pPr>
              <w:widowControl w:val="0"/>
              <w:pBdr>
                <w:top w:val="nil"/>
                <w:left w:val="nil"/>
                <w:bottom w:val="nil"/>
                <w:right w:val="nil"/>
                <w:between w:val="nil"/>
              </w:pBdr>
              <w:spacing w:after="0"/>
              <w:rPr>
                <w:rFonts w:cs="Calibri"/>
                <w:color w:val="000000"/>
              </w:rPr>
            </w:pPr>
          </w:p>
        </w:tc>
      </w:tr>
      <w:tr w:rsidR="00004A8D" w14:paraId="288EAE51" w14:textId="77777777">
        <w:tc>
          <w:tcPr>
            <w:tcW w:w="86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1ED086E" w14:textId="77777777" w:rsidR="00004A8D" w:rsidRDefault="00004A8D">
            <w:pPr>
              <w:spacing w:after="0" w:line="240" w:lineRule="auto"/>
              <w:rPr>
                <w:rFonts w:cs="Calibri"/>
                <w:color w:val="000000"/>
              </w:rPr>
            </w:pPr>
          </w:p>
        </w:tc>
        <w:tc>
          <w:tcPr>
            <w:tcW w:w="100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D695302" w14:textId="77777777" w:rsidR="00004A8D" w:rsidRDefault="00004A8D">
            <w:pPr>
              <w:spacing w:after="0" w:line="240" w:lineRule="auto"/>
              <w:rPr>
                <w:rFonts w:cs="Calibri"/>
                <w:color w:val="000000"/>
              </w:rPr>
            </w:pPr>
          </w:p>
        </w:tc>
        <w:tc>
          <w:tcPr>
            <w:tcW w:w="230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CA22E8C" w14:textId="77777777" w:rsidR="00004A8D" w:rsidRDefault="00004A8D">
            <w:pPr>
              <w:spacing w:after="0" w:line="240" w:lineRule="auto"/>
              <w:rPr>
                <w:rFonts w:cs="Calibri"/>
                <w:color w:val="000000"/>
              </w:rPr>
            </w:pPr>
          </w:p>
        </w:tc>
        <w:tc>
          <w:tcPr>
            <w:tcW w:w="1879"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4E07AE4" w14:textId="77777777" w:rsidR="00004A8D" w:rsidRDefault="00004A8D">
            <w:pPr>
              <w:spacing w:after="0" w:line="240" w:lineRule="auto"/>
              <w:rPr>
                <w:rFonts w:cs="Calibri"/>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2D741FE" w14:textId="77777777" w:rsidR="00004A8D" w:rsidRDefault="00004A8D">
            <w:pPr>
              <w:spacing w:after="0" w:line="240" w:lineRule="auto"/>
              <w:rPr>
                <w:rFonts w:cs="Calibri"/>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70B537D" w14:textId="77777777" w:rsidR="00004A8D" w:rsidRDefault="00004A8D">
            <w:pPr>
              <w:spacing w:after="0" w:line="240" w:lineRule="auto"/>
              <w:rPr>
                <w:rFonts w:cs="Calibri"/>
                <w:color w:val="000000"/>
              </w:rPr>
            </w:pPr>
          </w:p>
        </w:tc>
      </w:tr>
      <w:tr w:rsidR="00004A8D" w14:paraId="2A3F0A40" w14:textId="77777777">
        <w:tc>
          <w:tcPr>
            <w:tcW w:w="86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4C223FC" w14:textId="77777777" w:rsidR="00004A8D" w:rsidRDefault="00004A8D">
            <w:pPr>
              <w:spacing w:after="0" w:line="240" w:lineRule="auto"/>
              <w:rPr>
                <w:rFonts w:cs="Calibri"/>
                <w:color w:val="000000"/>
              </w:rPr>
            </w:pPr>
          </w:p>
        </w:tc>
        <w:tc>
          <w:tcPr>
            <w:tcW w:w="100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6EB23C2" w14:textId="77777777" w:rsidR="00004A8D" w:rsidRDefault="00004A8D">
            <w:pPr>
              <w:spacing w:after="0" w:line="240" w:lineRule="auto"/>
              <w:rPr>
                <w:rFonts w:cs="Calibri"/>
                <w:color w:val="000000"/>
              </w:rPr>
            </w:pPr>
          </w:p>
        </w:tc>
        <w:tc>
          <w:tcPr>
            <w:tcW w:w="230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5C79F92" w14:textId="77777777" w:rsidR="00004A8D" w:rsidRDefault="00004A8D">
            <w:pPr>
              <w:spacing w:after="0" w:line="240" w:lineRule="auto"/>
              <w:rPr>
                <w:rFonts w:cs="Calibri"/>
                <w:color w:val="000000"/>
              </w:rPr>
            </w:pPr>
          </w:p>
        </w:tc>
        <w:tc>
          <w:tcPr>
            <w:tcW w:w="1879"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6417290" w14:textId="77777777" w:rsidR="00004A8D" w:rsidRDefault="00004A8D">
            <w:pPr>
              <w:spacing w:after="0" w:line="240" w:lineRule="auto"/>
              <w:rPr>
                <w:rFonts w:cs="Calibri"/>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7D4E5F0" w14:textId="77777777" w:rsidR="00004A8D" w:rsidRDefault="00004A8D">
            <w:pPr>
              <w:spacing w:after="0" w:line="240" w:lineRule="auto"/>
              <w:rPr>
                <w:rFonts w:cs="Calibri"/>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D860A1E" w14:textId="77777777" w:rsidR="00004A8D" w:rsidRDefault="00004A8D">
            <w:pPr>
              <w:spacing w:after="0" w:line="240" w:lineRule="auto"/>
              <w:rPr>
                <w:rFonts w:cs="Calibri"/>
                <w:color w:val="000000"/>
              </w:rPr>
            </w:pPr>
          </w:p>
        </w:tc>
      </w:tr>
    </w:tbl>
    <w:p w14:paraId="4F78FB90" w14:textId="77777777" w:rsidR="00004A8D" w:rsidRDefault="00004A8D"/>
    <w:p w14:paraId="6F5793A2" w14:textId="77777777" w:rsidR="00004A8D" w:rsidRDefault="00000000">
      <w:pPr>
        <w:pStyle w:val="Heading2"/>
        <w:numPr>
          <w:ilvl w:val="0"/>
          <w:numId w:val="2"/>
        </w:numPr>
      </w:pPr>
      <w:r>
        <w:t>Assessment Measures: Description of Assignment and Method (rubric, criteria, etc.) used to evaluate the assignment [f]</w:t>
      </w:r>
    </w:p>
    <w:p w14:paraId="0DC7A345" w14:textId="77777777" w:rsidR="00004A8D" w:rsidRDefault="00000000">
      <w:r>
        <w:t>The CM department will use the following direct and indirect measures for PLOs assessment:</w:t>
      </w:r>
    </w:p>
    <w:p w14:paraId="3ECF3375" w14:textId="77777777" w:rsidR="00004A8D" w:rsidRDefault="00000000">
      <w:pPr>
        <w:numPr>
          <w:ilvl w:val="1"/>
          <w:numId w:val="2"/>
        </w:numPr>
        <w:pBdr>
          <w:top w:val="nil"/>
          <w:left w:val="nil"/>
          <w:bottom w:val="nil"/>
          <w:right w:val="nil"/>
          <w:between w:val="nil"/>
        </w:pBdr>
        <w:spacing w:after="0"/>
      </w:pPr>
      <w:r>
        <w:rPr>
          <w:rFonts w:cs="Calibri"/>
          <w:color w:val="000000"/>
        </w:rPr>
        <w:t xml:space="preserve">Direct Measures </w:t>
      </w:r>
    </w:p>
    <w:p w14:paraId="2DF5DB7C"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1. Course assignments (formative)</w:t>
      </w:r>
    </w:p>
    <w:p w14:paraId="4BF1DE91"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2. Course quizzes (formative)</w:t>
      </w:r>
    </w:p>
    <w:p w14:paraId="18F43533"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3. Course projects (formative)</w:t>
      </w:r>
    </w:p>
    <w:p w14:paraId="6BA994CE" w14:textId="77777777" w:rsidR="00004A8D" w:rsidRDefault="00000000">
      <w:pPr>
        <w:numPr>
          <w:ilvl w:val="1"/>
          <w:numId w:val="2"/>
        </w:numPr>
        <w:pBdr>
          <w:top w:val="nil"/>
          <w:left w:val="nil"/>
          <w:bottom w:val="nil"/>
          <w:right w:val="nil"/>
          <w:between w:val="nil"/>
        </w:pBdr>
        <w:spacing w:after="0"/>
      </w:pPr>
      <w:r>
        <w:rPr>
          <w:rFonts w:cs="Calibri"/>
          <w:color w:val="000000"/>
        </w:rPr>
        <w:t xml:space="preserve">Indirect Measures </w:t>
      </w:r>
    </w:p>
    <w:p w14:paraId="63BE9447" w14:textId="77777777" w:rsidR="00004A8D" w:rsidRDefault="00000000">
      <w:pPr>
        <w:pBdr>
          <w:top w:val="nil"/>
          <w:left w:val="nil"/>
          <w:bottom w:val="nil"/>
          <w:right w:val="nil"/>
          <w:between w:val="nil"/>
        </w:pBdr>
        <w:spacing w:after="0"/>
        <w:ind w:left="720"/>
        <w:rPr>
          <w:rFonts w:cs="Calibri"/>
          <w:color w:val="000000"/>
        </w:rPr>
      </w:pPr>
      <w:r>
        <w:rPr>
          <w:rFonts w:cs="Calibri"/>
          <w:color w:val="000000"/>
        </w:rPr>
        <w:t>1. Course specific surveys and peer evaluations (formative)</w:t>
      </w:r>
    </w:p>
    <w:p w14:paraId="214B41EF" w14:textId="77777777" w:rsidR="00004A8D" w:rsidRDefault="00000000">
      <w:pPr>
        <w:pBdr>
          <w:top w:val="nil"/>
          <w:left w:val="nil"/>
          <w:bottom w:val="nil"/>
          <w:right w:val="nil"/>
          <w:between w:val="nil"/>
        </w:pBdr>
        <w:spacing w:after="0"/>
        <w:ind w:left="720"/>
        <w:rPr>
          <w:rFonts w:cs="Calibri"/>
          <w:color w:val="000000"/>
        </w:rPr>
      </w:pPr>
      <w:r>
        <w:t>2</w:t>
      </w:r>
      <w:r>
        <w:rPr>
          <w:rFonts w:cs="Calibri"/>
          <w:color w:val="000000"/>
        </w:rPr>
        <w:t>. MSCM graduate exit survey (summative) - to be administered 2 years after the launch o</w:t>
      </w:r>
      <w:r>
        <w:t>f the program.</w:t>
      </w:r>
    </w:p>
    <w:p w14:paraId="5F2D3501" w14:textId="77777777" w:rsidR="00004A8D" w:rsidRDefault="00000000">
      <w:pPr>
        <w:pBdr>
          <w:top w:val="nil"/>
          <w:left w:val="nil"/>
          <w:bottom w:val="nil"/>
          <w:right w:val="nil"/>
          <w:between w:val="nil"/>
        </w:pBdr>
        <w:spacing w:after="0"/>
        <w:ind w:left="720"/>
        <w:rPr>
          <w:rFonts w:cs="Calibri"/>
          <w:color w:val="000000"/>
        </w:rPr>
      </w:pPr>
      <w:r>
        <w:t>3</w:t>
      </w:r>
      <w:r>
        <w:rPr>
          <w:rFonts w:cs="Calibri"/>
          <w:color w:val="000000"/>
        </w:rPr>
        <w:t xml:space="preserve">. MSCM alumni survey (summative) – to be administered </w:t>
      </w:r>
      <w:r>
        <w:t>4</w:t>
      </w:r>
      <w:r>
        <w:rPr>
          <w:rFonts w:cs="Calibri"/>
          <w:color w:val="000000"/>
        </w:rPr>
        <w:t xml:space="preserve"> years after the launch of the program.</w:t>
      </w:r>
    </w:p>
    <w:p w14:paraId="645756A1" w14:textId="77777777" w:rsidR="00004A8D" w:rsidRDefault="00000000">
      <w:pPr>
        <w:pBdr>
          <w:top w:val="nil"/>
          <w:left w:val="nil"/>
          <w:bottom w:val="nil"/>
          <w:right w:val="nil"/>
          <w:between w:val="nil"/>
        </w:pBdr>
        <w:ind w:left="720"/>
        <w:rPr>
          <w:rFonts w:cs="Calibri"/>
          <w:color w:val="000000"/>
        </w:rPr>
      </w:pPr>
      <w:r>
        <w:t>4</w:t>
      </w:r>
      <w:r>
        <w:rPr>
          <w:rFonts w:cs="Calibri"/>
          <w:color w:val="000000"/>
        </w:rPr>
        <w:t xml:space="preserve">. Employer survey (summative) – to be administered </w:t>
      </w:r>
      <w:r>
        <w:t>4</w:t>
      </w:r>
      <w:r>
        <w:rPr>
          <w:rFonts w:cs="Calibri"/>
          <w:color w:val="000000"/>
        </w:rPr>
        <w:t xml:space="preserve"> years after the launch of the program.</w:t>
      </w:r>
    </w:p>
    <w:p w14:paraId="05A35494" w14:textId="77777777" w:rsidR="00004A8D" w:rsidRDefault="00000000">
      <w:pPr>
        <w:pStyle w:val="Heading2"/>
        <w:numPr>
          <w:ilvl w:val="0"/>
          <w:numId w:val="2"/>
        </w:numPr>
      </w:pPr>
      <w:r>
        <w:t>Assessment Schedule/Timeline [g]</w:t>
      </w:r>
    </w:p>
    <w:p w14:paraId="65F06F6E" w14:textId="77777777" w:rsidR="00004A8D" w:rsidRDefault="00000000">
      <w:r>
        <w:t>Table 3. Assessment Schedule (on a 3-yr cycle)</w:t>
      </w:r>
    </w:p>
    <w:tbl>
      <w:tblPr>
        <w:tblStyle w:val="a2"/>
        <w:tblW w:w="9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25"/>
        <w:gridCol w:w="1695"/>
        <w:gridCol w:w="825"/>
        <w:gridCol w:w="765"/>
        <w:gridCol w:w="750"/>
        <w:gridCol w:w="750"/>
        <w:gridCol w:w="765"/>
        <w:gridCol w:w="795"/>
        <w:gridCol w:w="1489"/>
      </w:tblGrid>
      <w:tr w:rsidR="00004A8D" w14:paraId="1E6DF41B" w14:textId="77777777" w:rsidTr="00004A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5" w:type="dxa"/>
          </w:tcPr>
          <w:p w14:paraId="53EFBB9B" w14:textId="77777777" w:rsidR="00004A8D" w:rsidRDefault="00000000">
            <w:pPr>
              <w:rPr>
                <w:sz w:val="18"/>
                <w:szCs w:val="18"/>
              </w:rPr>
            </w:pPr>
            <w:r>
              <w:rPr>
                <w:sz w:val="18"/>
                <w:szCs w:val="18"/>
              </w:rPr>
              <w:t>Academic Year</w:t>
            </w:r>
          </w:p>
        </w:tc>
        <w:tc>
          <w:tcPr>
            <w:tcW w:w="1695" w:type="dxa"/>
          </w:tcPr>
          <w:p w14:paraId="2EFD11AF"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Measure</w:t>
            </w:r>
          </w:p>
        </w:tc>
        <w:tc>
          <w:tcPr>
            <w:tcW w:w="825" w:type="dxa"/>
          </w:tcPr>
          <w:p w14:paraId="3D9C4163"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1</w:t>
            </w:r>
          </w:p>
        </w:tc>
        <w:tc>
          <w:tcPr>
            <w:tcW w:w="765" w:type="dxa"/>
          </w:tcPr>
          <w:p w14:paraId="2E855280"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2</w:t>
            </w:r>
          </w:p>
        </w:tc>
        <w:tc>
          <w:tcPr>
            <w:tcW w:w="750" w:type="dxa"/>
          </w:tcPr>
          <w:p w14:paraId="4BBAC2AE"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3</w:t>
            </w:r>
          </w:p>
        </w:tc>
        <w:tc>
          <w:tcPr>
            <w:tcW w:w="750" w:type="dxa"/>
          </w:tcPr>
          <w:p w14:paraId="56CB604E"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4</w:t>
            </w:r>
          </w:p>
        </w:tc>
        <w:tc>
          <w:tcPr>
            <w:tcW w:w="765" w:type="dxa"/>
          </w:tcPr>
          <w:p w14:paraId="533A7B08"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5</w:t>
            </w:r>
          </w:p>
        </w:tc>
        <w:tc>
          <w:tcPr>
            <w:tcW w:w="795" w:type="dxa"/>
          </w:tcPr>
          <w:p w14:paraId="058ED4ED"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6</w:t>
            </w:r>
          </w:p>
        </w:tc>
        <w:tc>
          <w:tcPr>
            <w:tcW w:w="1489" w:type="dxa"/>
          </w:tcPr>
          <w:p w14:paraId="538B349B" w14:textId="77777777" w:rsidR="00004A8D"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PLO 7</w:t>
            </w:r>
          </w:p>
        </w:tc>
      </w:tr>
      <w:tr w:rsidR="00004A8D" w14:paraId="0C2A8E9E" w14:textId="77777777" w:rsidTr="0000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7B3A6275" w14:textId="77777777" w:rsidR="00004A8D" w:rsidRDefault="00000000">
            <w:pPr>
              <w:rPr>
                <w:sz w:val="18"/>
                <w:szCs w:val="18"/>
              </w:rPr>
            </w:pPr>
            <w:r>
              <w:rPr>
                <w:sz w:val="18"/>
                <w:szCs w:val="18"/>
              </w:rPr>
              <w:t>2021-2022</w:t>
            </w:r>
          </w:p>
        </w:tc>
        <w:tc>
          <w:tcPr>
            <w:tcW w:w="1695" w:type="dxa"/>
          </w:tcPr>
          <w:p w14:paraId="09E01A9E"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w:t>
            </w:r>
          </w:p>
          <w:p w14:paraId="7569D977"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Paper Presentation</w:t>
            </w:r>
          </w:p>
        </w:tc>
        <w:tc>
          <w:tcPr>
            <w:tcW w:w="825" w:type="dxa"/>
          </w:tcPr>
          <w:p w14:paraId="78C8A1AA"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CM220</w:t>
            </w:r>
          </w:p>
        </w:tc>
        <w:tc>
          <w:tcPr>
            <w:tcW w:w="765" w:type="dxa"/>
          </w:tcPr>
          <w:p w14:paraId="43EEE547"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CM240</w:t>
            </w:r>
          </w:p>
        </w:tc>
        <w:tc>
          <w:tcPr>
            <w:tcW w:w="750" w:type="dxa"/>
          </w:tcPr>
          <w:p w14:paraId="3EDEABA3"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14:paraId="7F6B53B1"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65" w:type="dxa"/>
          </w:tcPr>
          <w:p w14:paraId="5376B871"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95" w:type="dxa"/>
          </w:tcPr>
          <w:p w14:paraId="0C8EACBB"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1489" w:type="dxa"/>
          </w:tcPr>
          <w:p w14:paraId="58854811"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r>
      <w:tr w:rsidR="00004A8D" w14:paraId="4B7F3342" w14:textId="77777777" w:rsidTr="00004A8D">
        <w:tc>
          <w:tcPr>
            <w:cnfStyle w:val="001000000000" w:firstRow="0" w:lastRow="0" w:firstColumn="1" w:lastColumn="0" w:oddVBand="0" w:evenVBand="0" w:oddHBand="0" w:evenHBand="0" w:firstRowFirstColumn="0" w:firstRowLastColumn="0" w:lastRowFirstColumn="0" w:lastRowLastColumn="0"/>
            <w:tcW w:w="1425" w:type="dxa"/>
          </w:tcPr>
          <w:p w14:paraId="57AE0017" w14:textId="77777777" w:rsidR="00004A8D" w:rsidRDefault="00000000">
            <w:pPr>
              <w:rPr>
                <w:sz w:val="18"/>
                <w:szCs w:val="18"/>
              </w:rPr>
            </w:pPr>
            <w:r>
              <w:rPr>
                <w:sz w:val="18"/>
                <w:szCs w:val="18"/>
              </w:rPr>
              <w:t>2022-2023</w:t>
            </w:r>
          </w:p>
        </w:tc>
        <w:tc>
          <w:tcPr>
            <w:tcW w:w="1695" w:type="dxa"/>
          </w:tcPr>
          <w:p w14:paraId="49465124"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Project</w:t>
            </w:r>
          </w:p>
          <w:p w14:paraId="29A3A34D"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 Survey</w:t>
            </w:r>
          </w:p>
        </w:tc>
        <w:tc>
          <w:tcPr>
            <w:tcW w:w="825" w:type="dxa"/>
          </w:tcPr>
          <w:p w14:paraId="05BC96EB" w14:textId="77777777" w:rsidR="00004A8D" w:rsidRDefault="00004A8D">
            <w:pPr>
              <w:cnfStyle w:val="000000000000" w:firstRow="0" w:lastRow="0" w:firstColumn="0" w:lastColumn="0" w:oddVBand="0" w:evenVBand="0" w:oddHBand="0" w:evenHBand="0" w:firstRowFirstColumn="0" w:firstRowLastColumn="0" w:lastRowFirstColumn="0" w:lastRowLastColumn="0"/>
              <w:rPr>
                <w:sz w:val="18"/>
                <w:szCs w:val="18"/>
              </w:rPr>
            </w:pPr>
          </w:p>
        </w:tc>
        <w:tc>
          <w:tcPr>
            <w:tcW w:w="765" w:type="dxa"/>
          </w:tcPr>
          <w:p w14:paraId="2EF675F6" w14:textId="77777777" w:rsidR="00004A8D" w:rsidRDefault="00004A8D">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14:paraId="401827DF"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CM220</w:t>
            </w:r>
          </w:p>
          <w:p w14:paraId="79BE771E"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 Survey</w:t>
            </w:r>
          </w:p>
        </w:tc>
        <w:tc>
          <w:tcPr>
            <w:tcW w:w="750" w:type="dxa"/>
          </w:tcPr>
          <w:p w14:paraId="1AECA353"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CM230</w:t>
            </w:r>
          </w:p>
          <w:p w14:paraId="03427083" w14:textId="77777777" w:rsidR="00004A8D"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 Survey</w:t>
            </w:r>
          </w:p>
        </w:tc>
        <w:tc>
          <w:tcPr>
            <w:tcW w:w="765" w:type="dxa"/>
          </w:tcPr>
          <w:p w14:paraId="26E2FE66" w14:textId="77777777" w:rsidR="00004A8D" w:rsidRDefault="00004A8D">
            <w:pPr>
              <w:cnfStyle w:val="000000000000" w:firstRow="0" w:lastRow="0" w:firstColumn="0" w:lastColumn="0" w:oddVBand="0" w:evenVBand="0" w:oddHBand="0" w:evenHBand="0" w:firstRowFirstColumn="0" w:firstRowLastColumn="0" w:lastRowFirstColumn="0" w:lastRowLastColumn="0"/>
              <w:rPr>
                <w:sz w:val="18"/>
                <w:szCs w:val="18"/>
              </w:rPr>
            </w:pPr>
          </w:p>
        </w:tc>
        <w:tc>
          <w:tcPr>
            <w:tcW w:w="795" w:type="dxa"/>
          </w:tcPr>
          <w:p w14:paraId="6D465A5C" w14:textId="77777777" w:rsidR="00004A8D" w:rsidRDefault="00004A8D">
            <w:pPr>
              <w:cnfStyle w:val="000000000000" w:firstRow="0" w:lastRow="0" w:firstColumn="0" w:lastColumn="0" w:oddVBand="0" w:evenVBand="0" w:oddHBand="0" w:evenHBand="0" w:firstRowFirstColumn="0" w:firstRowLastColumn="0" w:lastRowFirstColumn="0" w:lastRowLastColumn="0"/>
              <w:rPr>
                <w:sz w:val="18"/>
                <w:szCs w:val="18"/>
              </w:rPr>
            </w:pPr>
          </w:p>
        </w:tc>
        <w:tc>
          <w:tcPr>
            <w:tcW w:w="1489" w:type="dxa"/>
          </w:tcPr>
          <w:p w14:paraId="3F055AF5" w14:textId="77777777" w:rsidR="00004A8D" w:rsidRDefault="00004A8D">
            <w:pPr>
              <w:cnfStyle w:val="000000000000" w:firstRow="0" w:lastRow="0" w:firstColumn="0" w:lastColumn="0" w:oddVBand="0" w:evenVBand="0" w:oddHBand="0" w:evenHBand="0" w:firstRowFirstColumn="0" w:firstRowLastColumn="0" w:lastRowFirstColumn="0" w:lastRowLastColumn="0"/>
              <w:rPr>
                <w:sz w:val="18"/>
                <w:szCs w:val="18"/>
              </w:rPr>
            </w:pPr>
          </w:p>
        </w:tc>
      </w:tr>
      <w:tr w:rsidR="00004A8D" w14:paraId="2185065B" w14:textId="77777777" w:rsidTr="0000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69DE450A" w14:textId="77777777" w:rsidR="00004A8D" w:rsidRDefault="00000000">
            <w:pPr>
              <w:rPr>
                <w:sz w:val="18"/>
                <w:szCs w:val="18"/>
              </w:rPr>
            </w:pPr>
            <w:r>
              <w:rPr>
                <w:sz w:val="18"/>
                <w:szCs w:val="18"/>
              </w:rPr>
              <w:t>2023-2024</w:t>
            </w:r>
          </w:p>
        </w:tc>
        <w:tc>
          <w:tcPr>
            <w:tcW w:w="1695" w:type="dxa"/>
          </w:tcPr>
          <w:p w14:paraId="0F0B7737"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Essay</w:t>
            </w:r>
          </w:p>
          <w:p w14:paraId="45E91FA5"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w:t>
            </w:r>
          </w:p>
          <w:p w14:paraId="1B6FCC4B"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Paper</w:t>
            </w:r>
          </w:p>
          <w:p w14:paraId="2AFD1A6F"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Exit Survey</w:t>
            </w:r>
          </w:p>
        </w:tc>
        <w:tc>
          <w:tcPr>
            <w:tcW w:w="825" w:type="dxa"/>
          </w:tcPr>
          <w:p w14:paraId="4AEBEF36"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65" w:type="dxa"/>
          </w:tcPr>
          <w:p w14:paraId="5844D11E"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14:paraId="63175851"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14:paraId="11A41543" w14:textId="77777777" w:rsidR="00004A8D" w:rsidRDefault="00004A8D">
            <w:pPr>
              <w:cnfStyle w:val="000000100000" w:firstRow="0" w:lastRow="0" w:firstColumn="0" w:lastColumn="0" w:oddVBand="0" w:evenVBand="0" w:oddHBand="1" w:evenHBand="0" w:firstRowFirstColumn="0" w:firstRowLastColumn="0" w:lastRowFirstColumn="0" w:lastRowLastColumn="0"/>
              <w:rPr>
                <w:sz w:val="18"/>
                <w:szCs w:val="18"/>
              </w:rPr>
            </w:pPr>
          </w:p>
        </w:tc>
        <w:tc>
          <w:tcPr>
            <w:tcW w:w="765" w:type="dxa"/>
          </w:tcPr>
          <w:p w14:paraId="5ED06C27"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CM240</w:t>
            </w:r>
          </w:p>
          <w:p w14:paraId="7CD1F293"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Exit Survey</w:t>
            </w:r>
          </w:p>
        </w:tc>
        <w:tc>
          <w:tcPr>
            <w:tcW w:w="795" w:type="dxa"/>
          </w:tcPr>
          <w:p w14:paraId="1D53EC83"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CM230</w:t>
            </w:r>
          </w:p>
          <w:p w14:paraId="37A521DA"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Exit Survey</w:t>
            </w:r>
          </w:p>
        </w:tc>
        <w:tc>
          <w:tcPr>
            <w:tcW w:w="1489" w:type="dxa"/>
          </w:tcPr>
          <w:p w14:paraId="55106DE1"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CE210/CM210 </w:t>
            </w:r>
          </w:p>
          <w:p w14:paraId="725427BA" w14:textId="77777777" w:rsidR="00004A8D" w:rsidRDefault="00000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in</w:t>
            </w:r>
            <w:proofErr w:type="gramEnd"/>
            <w:r>
              <w:rPr>
                <w:sz w:val="18"/>
                <w:szCs w:val="18"/>
              </w:rPr>
              <w:t xml:space="preserve"> development)</w:t>
            </w:r>
          </w:p>
        </w:tc>
      </w:tr>
    </w:tbl>
    <w:p w14:paraId="0751873C" w14:textId="77777777" w:rsidR="00004A8D" w:rsidRDefault="00004A8D"/>
    <w:tbl>
      <w:tblPr>
        <w:tblStyle w:val="a3"/>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004A8D" w14:paraId="54CCA581" w14:textId="77777777">
        <w:tc>
          <w:tcPr>
            <w:tcW w:w="9314" w:type="dxa"/>
            <w:shd w:val="clear" w:color="auto" w:fill="DBE5F1"/>
          </w:tcPr>
          <w:p w14:paraId="5DBDC8C9" w14:textId="77777777" w:rsidR="00004A8D" w:rsidRDefault="00000000">
            <w:pPr>
              <w:pStyle w:val="Heading2"/>
              <w:numPr>
                <w:ilvl w:val="0"/>
                <w:numId w:val="2"/>
              </w:numPr>
            </w:pPr>
            <w:r>
              <w:t>Closing the Loop [</w:t>
            </w:r>
            <w:proofErr w:type="spellStart"/>
            <w:proofErr w:type="gramStart"/>
            <w:r>
              <w:t>h,j</w:t>
            </w:r>
            <w:proofErr w:type="gramEnd"/>
            <w:r>
              <w:t>,k</w:t>
            </w:r>
            <w:proofErr w:type="spellEnd"/>
            <w:r>
              <w:t xml:space="preserve">] </w:t>
            </w:r>
          </w:p>
        </w:tc>
      </w:tr>
      <w:tr w:rsidR="00004A8D" w14:paraId="0272EAD5" w14:textId="77777777">
        <w:tc>
          <w:tcPr>
            <w:tcW w:w="9314" w:type="dxa"/>
            <w:shd w:val="clear" w:color="auto" w:fill="244061"/>
          </w:tcPr>
          <w:p w14:paraId="49F62193" w14:textId="77777777" w:rsidR="00004A8D" w:rsidRDefault="00000000">
            <w:pPr>
              <w:rPr>
                <w:rFonts w:cs="Calibri"/>
                <w:b/>
              </w:rPr>
            </w:pPr>
            <w:r>
              <w:rPr>
                <w:rFonts w:cs="Calibri"/>
                <w:b/>
              </w:rPr>
              <w:t>Fresno State Closing the Loop process is described immediately below.</w:t>
            </w:r>
          </w:p>
        </w:tc>
      </w:tr>
      <w:tr w:rsidR="00004A8D" w14:paraId="74904F2F" w14:textId="77777777">
        <w:tc>
          <w:tcPr>
            <w:tcW w:w="9314" w:type="dxa"/>
            <w:shd w:val="clear" w:color="auto" w:fill="DBE5F1"/>
          </w:tcPr>
          <w:p w14:paraId="0DA7AC79" w14:textId="77777777" w:rsidR="00004A8D" w:rsidRDefault="00000000">
            <w:pPr>
              <w:pStyle w:val="Heading2"/>
            </w:pPr>
            <w:r>
              <w:t xml:space="preserve">A major assessment report, which focuses on assessment activities carried out the previous academic year, is submitted in September of each academic year and </w:t>
            </w:r>
            <w:r>
              <w:lastRenderedPageBreak/>
              <w:t>evaluated by the Learning Assessment Team and Director of Assessment at Fresno State.</w:t>
            </w:r>
          </w:p>
        </w:tc>
      </w:tr>
      <w:tr w:rsidR="00004A8D" w14:paraId="443BCE8A" w14:textId="77777777">
        <w:trPr>
          <w:trHeight w:val="713"/>
        </w:trPr>
        <w:tc>
          <w:tcPr>
            <w:tcW w:w="9314" w:type="dxa"/>
          </w:tcPr>
          <w:p w14:paraId="5F3ABBE1" w14:textId="77777777" w:rsidR="00004A8D" w:rsidRDefault="00000000">
            <w:pPr>
              <w:rPr>
                <w:rFonts w:cs="Calibri"/>
              </w:rPr>
            </w:pPr>
            <w:r>
              <w:rPr>
                <w:rFonts w:cs="Calibri"/>
              </w:rPr>
              <w:lastRenderedPageBreak/>
              <w:t>Program/Department Closing the Loop process:</w:t>
            </w:r>
          </w:p>
          <w:p w14:paraId="6B467FAD" w14:textId="77777777" w:rsidR="00004A8D" w:rsidRDefault="00000000">
            <w:pPr>
              <w:rPr>
                <w:rFonts w:cs="Calibri"/>
              </w:rPr>
            </w:pPr>
            <w:r>
              <w:rPr>
                <w:rFonts w:cs="Calibri"/>
              </w:rPr>
              <w:t xml:space="preserve">The MSCM program was launched in the fall of 2020 with a small cohort (5 students). The assessment activities will start in Fall 2021 as suggested in Table 3. The first assessment report will be submitted in </w:t>
            </w:r>
            <w:proofErr w:type="gramStart"/>
            <w:r>
              <w:rPr>
                <w:rFonts w:cs="Calibri"/>
              </w:rPr>
              <w:t>September,</w:t>
            </w:r>
            <w:proofErr w:type="gramEnd"/>
            <w:r>
              <w:rPr>
                <w:rFonts w:cs="Calibri"/>
              </w:rPr>
              <w:t xml:space="preserve"> 2022.</w:t>
            </w:r>
          </w:p>
          <w:p w14:paraId="0A9D00FE" w14:textId="77777777" w:rsidR="00004A8D" w:rsidRDefault="00004A8D">
            <w:pPr>
              <w:rPr>
                <w:rFonts w:cs="Calibri"/>
              </w:rPr>
            </w:pPr>
          </w:p>
        </w:tc>
      </w:tr>
    </w:tbl>
    <w:p w14:paraId="456F5BCD" w14:textId="77777777" w:rsidR="00004A8D" w:rsidRDefault="00004A8D"/>
    <w:sectPr w:rsidR="00004A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B42C" w14:textId="77777777" w:rsidR="002D6A51" w:rsidRDefault="002D6A51">
      <w:pPr>
        <w:spacing w:after="0" w:line="240" w:lineRule="auto"/>
      </w:pPr>
      <w:r>
        <w:separator/>
      </w:r>
    </w:p>
  </w:endnote>
  <w:endnote w:type="continuationSeparator" w:id="0">
    <w:p w14:paraId="447ED98B" w14:textId="77777777" w:rsidR="002D6A51" w:rsidRDefault="002D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E46A" w14:textId="77777777" w:rsidR="00004A8D"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t>9</w:t>
    </w:r>
    <w:r>
      <w:rPr>
        <w:rFonts w:cs="Calibri"/>
        <w:color w:val="000000"/>
      </w:rPr>
      <w:t>/</w:t>
    </w:r>
    <w:r>
      <w:t>30</w:t>
    </w:r>
    <w:r>
      <w:rPr>
        <w:rFonts w:cs="Calibri"/>
        <w:color w:val="000000"/>
      </w:rPr>
      <w:t xml:space="preserve">/2022 - page </w:t>
    </w:r>
    <w:r>
      <w:rPr>
        <w:rFonts w:cs="Calibri"/>
        <w:color w:val="000000"/>
      </w:rPr>
      <w:fldChar w:fldCharType="begin"/>
    </w:r>
    <w:r>
      <w:rPr>
        <w:rFonts w:cs="Calibri"/>
        <w:color w:val="000000"/>
      </w:rPr>
      <w:instrText>PAGE</w:instrText>
    </w:r>
    <w:r>
      <w:rPr>
        <w:rFonts w:cs="Calibri"/>
        <w:color w:val="000000"/>
      </w:rPr>
      <w:fldChar w:fldCharType="separate"/>
    </w:r>
    <w:r w:rsidR="009F0BBC">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F33E" w14:textId="77777777" w:rsidR="002D6A51" w:rsidRDefault="002D6A51">
      <w:pPr>
        <w:spacing w:after="0" w:line="240" w:lineRule="auto"/>
      </w:pPr>
      <w:r>
        <w:separator/>
      </w:r>
    </w:p>
  </w:footnote>
  <w:footnote w:type="continuationSeparator" w:id="0">
    <w:p w14:paraId="4D5F6EDF" w14:textId="77777777" w:rsidR="002D6A51" w:rsidRDefault="002D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46C"/>
    <w:multiLevelType w:val="multilevel"/>
    <w:tmpl w:val="5ACE1270"/>
    <w:lvl w:ilvl="0">
      <w:start w:val="1"/>
      <w:numFmt w:val="decimal"/>
      <w:pStyle w:val="Heading2"/>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C852396"/>
    <w:multiLevelType w:val="multilevel"/>
    <w:tmpl w:val="F56CFAB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1821604">
    <w:abstractNumId w:val="0"/>
  </w:num>
  <w:num w:numId="2" w16cid:durableId="208117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D"/>
    <w:rsid w:val="00004A8D"/>
    <w:rsid w:val="002D6A51"/>
    <w:rsid w:val="009F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5D2"/>
  <w15:docId w15:val="{70558897-0046-4D18-A88A-574E81B5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93B2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366091"/>
    </w:rPr>
    <w:tblPr>
      <w:tblStyleRowBandSize w:val="1"/>
      <w:tblStyleColBandSize w:val="1"/>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D3DFEE"/>
      </w:tcPr>
    </w:tblStylePr>
    <w:tblStylePr w:type="band1Horz">
      <w:tblPr/>
      <w:tcPr>
        <w:shd w:val="clear" w:color="auto" w:fill="D3DFEE"/>
      </w:tcPr>
    </w:tblStyle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IAoLBCDMqOzN852OflPGBUdP2A==">AMUW2mX+sk0pLSCnUovBTts717lC+UGa0eBO3eRa7TdLEqBpNKhdle52/75nWJtu9wkavJoXbjOrKiUrEXYfXYtasMMp7Bn8Z8ybRjECakrQ0YnBORhCcio=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Company>California State University Fresno</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2023-09-17T23:59:00Z</dcterms:created>
  <dcterms:modified xsi:type="dcterms:W3CDTF">2023-09-17T23:59:00Z</dcterms:modified>
</cp:coreProperties>
</file>