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3EBC" w14:textId="77777777" w:rsidR="00706781" w:rsidRDefault="00706781"/>
    <w:tbl>
      <w:tblPr>
        <w:tblStyle w:val="a4"/>
        <w:tblW w:w="931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9314"/>
      </w:tblGrid>
      <w:tr w:rsidR="00706781" w14:paraId="48336DB5" w14:textId="77777777">
        <w:tc>
          <w:tcPr>
            <w:tcW w:w="9314" w:type="dxa"/>
            <w:shd w:val="clear" w:color="auto" w:fill="DBE5F1"/>
          </w:tcPr>
          <w:p w14:paraId="76B574D5" w14:textId="77777777" w:rsidR="00706781" w:rsidRDefault="00000000">
            <w:pPr>
              <w:jc w:val="center"/>
              <w:rPr>
                <w:rFonts w:cs="Calibri"/>
                <w:b/>
              </w:rPr>
            </w:pPr>
            <w:r>
              <w:rPr>
                <w:rFonts w:cs="Calibri"/>
                <w:b/>
              </w:rPr>
              <w:t>California State University, Fresno</w:t>
            </w:r>
          </w:p>
          <w:p w14:paraId="2A4FF49C" w14:textId="77777777" w:rsidR="00706781" w:rsidRDefault="00000000">
            <w:pPr>
              <w:jc w:val="center"/>
              <w:rPr>
                <w:rFonts w:cs="Calibri"/>
                <w:b/>
              </w:rPr>
            </w:pPr>
            <w:r>
              <w:rPr>
                <w:rFonts w:cs="Calibri"/>
                <w:b/>
              </w:rPr>
              <w:t>Lyles College of Engineering</w:t>
            </w:r>
          </w:p>
          <w:p w14:paraId="5867C76F" w14:textId="77777777" w:rsidR="00706781" w:rsidRDefault="00000000">
            <w:pPr>
              <w:jc w:val="center"/>
              <w:rPr>
                <w:rFonts w:cs="Calibri"/>
                <w:b/>
              </w:rPr>
            </w:pPr>
            <w:r>
              <w:rPr>
                <w:rFonts w:cs="Calibri"/>
                <w:b/>
              </w:rPr>
              <w:t>Department of Construction Management</w:t>
            </w:r>
          </w:p>
          <w:p w14:paraId="205AC119" w14:textId="77777777" w:rsidR="00706781" w:rsidRDefault="00000000">
            <w:pPr>
              <w:jc w:val="center"/>
              <w:rPr>
                <w:rFonts w:cs="Calibri"/>
                <w:b/>
              </w:rPr>
            </w:pPr>
            <w:r>
              <w:rPr>
                <w:rFonts w:cs="Calibri"/>
                <w:b/>
              </w:rPr>
              <w:t>Master of Science in Construction Management</w:t>
            </w:r>
          </w:p>
          <w:p w14:paraId="54AE9267" w14:textId="77777777" w:rsidR="00706781" w:rsidRDefault="00000000">
            <w:pPr>
              <w:jc w:val="center"/>
              <w:rPr>
                <w:rFonts w:cs="Calibri"/>
                <w:b/>
              </w:rPr>
            </w:pPr>
            <w:r>
              <w:rPr>
                <w:rFonts w:cs="Calibri"/>
                <w:b/>
              </w:rPr>
              <w:t>Program Coordinator: Yupeng Luo</w:t>
            </w:r>
          </w:p>
        </w:tc>
      </w:tr>
      <w:tr w:rsidR="00706781" w14:paraId="61EEA919" w14:textId="77777777">
        <w:tc>
          <w:tcPr>
            <w:tcW w:w="9314" w:type="dxa"/>
            <w:shd w:val="clear" w:color="auto" w:fill="244061"/>
          </w:tcPr>
          <w:p w14:paraId="78048EFE" w14:textId="77777777" w:rsidR="00706781" w:rsidRDefault="00000000">
            <w:pPr>
              <w:rPr>
                <w:rFonts w:cs="Calibri"/>
                <w:b/>
                <w:color w:val="FFFFFF"/>
              </w:rPr>
            </w:pPr>
            <w:r>
              <w:rPr>
                <w:rFonts w:cs="Calibri"/>
                <w:b/>
                <w:color w:val="FFFFFF"/>
              </w:rPr>
              <w:t>Student Outcomes Assessment Plan (SOAP)</w:t>
            </w:r>
          </w:p>
        </w:tc>
      </w:tr>
      <w:tr w:rsidR="00706781" w14:paraId="15C98E95" w14:textId="77777777">
        <w:tc>
          <w:tcPr>
            <w:tcW w:w="9314" w:type="dxa"/>
            <w:shd w:val="clear" w:color="auto" w:fill="DBE5F1"/>
          </w:tcPr>
          <w:p w14:paraId="1BDA039E" w14:textId="77777777" w:rsidR="00706781" w:rsidRDefault="00000000">
            <w:pPr>
              <w:pStyle w:val="Heading2"/>
              <w:numPr>
                <w:ilvl w:val="0"/>
                <w:numId w:val="2"/>
              </w:numPr>
            </w:pPr>
            <w:r>
              <w:t>Mission Statement</w:t>
            </w:r>
          </w:p>
        </w:tc>
      </w:tr>
      <w:tr w:rsidR="00706781" w14:paraId="03FB60A0" w14:textId="77777777">
        <w:trPr>
          <w:trHeight w:val="713"/>
        </w:trPr>
        <w:tc>
          <w:tcPr>
            <w:tcW w:w="9314" w:type="dxa"/>
          </w:tcPr>
          <w:p w14:paraId="706F96DC" w14:textId="77777777" w:rsidR="00706781" w:rsidRDefault="00000000">
            <w:pPr>
              <w:rPr>
                <w:rFonts w:ascii="Times New Roman" w:eastAsia="Times New Roman" w:hAnsi="Times New Roman"/>
                <w:sz w:val="24"/>
                <w:szCs w:val="24"/>
              </w:rPr>
            </w:pPr>
            <w:r>
              <w:rPr>
                <w:rFonts w:ascii="Times New Roman" w:eastAsia="Times New Roman" w:hAnsi="Times New Roman"/>
                <w:sz w:val="24"/>
                <w:szCs w:val="24"/>
              </w:rPr>
              <w:t>The mission of the Department of Construction Management is to “</w:t>
            </w:r>
            <w:r>
              <w:rPr>
                <w:rFonts w:ascii="Times New Roman" w:eastAsia="Times New Roman" w:hAnsi="Times New Roman"/>
                <w:b/>
                <w:i/>
                <w:sz w:val="24"/>
                <w:szCs w:val="24"/>
              </w:rPr>
              <w:t>develop professionals, build leaders, and sustain learners for the architecture, engineering, and construction (AEC) industry</w:t>
            </w:r>
            <w:r>
              <w:rPr>
                <w:rFonts w:ascii="Times New Roman" w:eastAsia="Times New Roman" w:hAnsi="Times New Roman"/>
                <w:sz w:val="24"/>
                <w:szCs w:val="24"/>
              </w:rPr>
              <w:t>”. The vision of the Department of Construction Management is to “</w:t>
            </w:r>
            <w:r>
              <w:rPr>
                <w:rFonts w:ascii="Times New Roman" w:eastAsia="Times New Roman" w:hAnsi="Times New Roman"/>
                <w:b/>
                <w:i/>
                <w:sz w:val="24"/>
                <w:szCs w:val="24"/>
              </w:rPr>
              <w:t>build prominent engaged leaders in the regional, national, and international construction industries</w:t>
            </w:r>
            <w:r>
              <w:rPr>
                <w:rFonts w:ascii="Times New Roman" w:eastAsia="Times New Roman" w:hAnsi="Times New Roman"/>
                <w:sz w:val="24"/>
                <w:szCs w:val="24"/>
              </w:rPr>
              <w:t>”.</w:t>
            </w:r>
          </w:p>
        </w:tc>
      </w:tr>
    </w:tbl>
    <w:p w14:paraId="5DB68069" w14:textId="77777777" w:rsidR="00706781" w:rsidRDefault="00706781"/>
    <w:p w14:paraId="3D693561" w14:textId="77777777" w:rsidR="00706781" w:rsidRDefault="00000000">
      <w:pPr>
        <w:pStyle w:val="Heading2"/>
        <w:numPr>
          <w:ilvl w:val="0"/>
          <w:numId w:val="2"/>
        </w:numPr>
      </w:pPr>
      <w:r>
        <w:t xml:space="preserve">Institutional Learning Outcomes, Program Learning Outcomes/Goals, and SLO’s </w:t>
      </w:r>
    </w:p>
    <w:p w14:paraId="0831A009" w14:textId="77777777" w:rsidR="00706781" w:rsidRDefault="00000000">
      <w:pPr>
        <w:numPr>
          <w:ilvl w:val="1"/>
          <w:numId w:val="2"/>
        </w:numPr>
        <w:pBdr>
          <w:top w:val="nil"/>
          <w:left w:val="nil"/>
          <w:bottom w:val="nil"/>
          <w:right w:val="nil"/>
          <w:between w:val="nil"/>
        </w:pBdr>
        <w:spacing w:after="0"/>
        <w:rPr>
          <w:rFonts w:cs="Calibri"/>
          <w:color w:val="000000"/>
        </w:rPr>
      </w:pPr>
      <w:r>
        <w:rPr>
          <w:rFonts w:cs="Calibri"/>
          <w:color w:val="000000"/>
        </w:rPr>
        <w:t xml:space="preserve">Institutional Learning Outcomes (ILOs). Fresno State ILO’s are posted on the following webpage: </w:t>
      </w:r>
      <w:hyperlink r:id="rId8">
        <w:r w:rsidR="00706781">
          <w:rPr>
            <w:rFonts w:cs="Calibri"/>
            <w:color w:val="1155CC"/>
            <w:u w:val="single"/>
          </w:rPr>
          <w:t>http://fresnostate.edu/academics/oie/assessment/fresno-state-assessment.html</w:t>
        </w:r>
      </w:hyperlink>
    </w:p>
    <w:p w14:paraId="72D52BEB" w14:textId="77777777" w:rsidR="00706781" w:rsidRDefault="00000000">
      <w:pPr>
        <w:pBdr>
          <w:top w:val="nil"/>
          <w:left w:val="nil"/>
          <w:bottom w:val="nil"/>
          <w:right w:val="nil"/>
          <w:between w:val="nil"/>
        </w:pBdr>
        <w:spacing w:after="0"/>
        <w:ind w:left="1080"/>
        <w:rPr>
          <w:rFonts w:cs="Calibri"/>
          <w:color w:val="000000"/>
        </w:rPr>
      </w:pPr>
      <w:r>
        <w:rPr>
          <w:rFonts w:cs="Calibri"/>
          <w:color w:val="000000"/>
        </w:rPr>
        <w:t>1. Developing a foundational, broad</w:t>
      </w:r>
      <w:r>
        <w:t>,</w:t>
      </w:r>
      <w:r>
        <w:rPr>
          <w:rFonts w:cs="Calibri"/>
          <w:color w:val="000000"/>
        </w:rPr>
        <w:t xml:space="preserve"> and integrative knowledge of the humanities, the arts, the sciences, and social sciences, and their integration with their major field of study.</w:t>
      </w:r>
    </w:p>
    <w:p w14:paraId="7702CE7A" w14:textId="77777777" w:rsidR="00706781" w:rsidRDefault="00000000">
      <w:pPr>
        <w:pBdr>
          <w:top w:val="nil"/>
          <w:left w:val="nil"/>
          <w:bottom w:val="nil"/>
          <w:right w:val="nil"/>
          <w:between w:val="nil"/>
        </w:pBdr>
        <w:spacing w:after="0"/>
        <w:ind w:left="1080"/>
        <w:rPr>
          <w:rFonts w:cs="Calibri"/>
          <w:color w:val="000000"/>
        </w:rPr>
      </w:pPr>
      <w:r>
        <w:rPr>
          <w:rFonts w:cs="Calibri"/>
          <w:color w:val="000000"/>
        </w:rPr>
        <w:t>2. Acquiring specialized knowledge as identified by program learning outcomes in their major field.</w:t>
      </w:r>
    </w:p>
    <w:p w14:paraId="41B8251E" w14:textId="77777777" w:rsidR="00706781" w:rsidRDefault="00000000">
      <w:pPr>
        <w:pBdr>
          <w:top w:val="nil"/>
          <w:left w:val="nil"/>
          <w:bottom w:val="nil"/>
          <w:right w:val="nil"/>
          <w:between w:val="nil"/>
        </w:pBdr>
        <w:spacing w:after="0"/>
        <w:ind w:left="1080"/>
        <w:rPr>
          <w:rFonts w:cs="Calibri"/>
          <w:color w:val="000000"/>
        </w:rPr>
      </w:pPr>
      <w:r>
        <w:rPr>
          <w:rFonts w:cs="Calibri"/>
          <w:color w:val="000000"/>
        </w:rPr>
        <w:t>3. Improving intellectual skills including critical thinking, effective oral and written communication, information literacy</w:t>
      </w:r>
      <w:r>
        <w:t>,</w:t>
      </w:r>
      <w:r>
        <w:rPr>
          <w:rFonts w:cs="Calibri"/>
          <w:color w:val="000000"/>
        </w:rPr>
        <w:t xml:space="preserve"> and quantitative reasoning.</w:t>
      </w:r>
    </w:p>
    <w:p w14:paraId="5074C10C" w14:textId="77777777" w:rsidR="00706781" w:rsidRDefault="00000000">
      <w:pPr>
        <w:pBdr>
          <w:top w:val="nil"/>
          <w:left w:val="nil"/>
          <w:bottom w:val="nil"/>
          <w:right w:val="nil"/>
          <w:between w:val="nil"/>
        </w:pBdr>
        <w:spacing w:after="0"/>
        <w:ind w:left="1080"/>
        <w:rPr>
          <w:rFonts w:cs="Calibri"/>
          <w:color w:val="000000"/>
        </w:rPr>
      </w:pPr>
      <w:r>
        <w:rPr>
          <w:rFonts w:cs="Calibri"/>
          <w:color w:val="000000"/>
        </w:rPr>
        <w:t xml:space="preserve">4. Applying knowledge by integrating theory, practice, and </w:t>
      </w:r>
      <w:r>
        <w:t>problem-solving</w:t>
      </w:r>
      <w:r>
        <w:rPr>
          <w:rFonts w:cs="Calibri"/>
          <w:color w:val="000000"/>
        </w:rPr>
        <w:t xml:space="preserve"> to address </w:t>
      </w:r>
      <w:r>
        <w:t>real-world</w:t>
      </w:r>
      <w:r>
        <w:rPr>
          <w:rFonts w:cs="Calibri"/>
          <w:color w:val="000000"/>
        </w:rPr>
        <w:t xml:space="preserve"> issues using both individual and team approaches.</w:t>
      </w:r>
    </w:p>
    <w:p w14:paraId="2A1EB856" w14:textId="77777777" w:rsidR="00706781" w:rsidRDefault="00000000">
      <w:pPr>
        <w:pBdr>
          <w:top w:val="nil"/>
          <w:left w:val="nil"/>
          <w:bottom w:val="nil"/>
          <w:right w:val="nil"/>
          <w:between w:val="nil"/>
        </w:pBdr>
        <w:spacing w:after="0"/>
        <w:ind w:left="1080"/>
        <w:rPr>
          <w:rFonts w:cs="Calibri"/>
          <w:color w:val="000000"/>
        </w:rPr>
      </w:pPr>
      <w:r>
        <w:rPr>
          <w:rFonts w:cs="Calibri"/>
          <w:color w:val="000000"/>
        </w:rPr>
        <w:t>5. Exemplifying equity, ethics, and engagement.</w:t>
      </w:r>
    </w:p>
    <w:p w14:paraId="77927FF3" w14:textId="77777777" w:rsidR="00706781" w:rsidRDefault="00000000">
      <w:pPr>
        <w:numPr>
          <w:ilvl w:val="1"/>
          <w:numId w:val="2"/>
        </w:numPr>
        <w:pBdr>
          <w:top w:val="nil"/>
          <w:left w:val="nil"/>
          <w:bottom w:val="nil"/>
          <w:right w:val="nil"/>
          <w:between w:val="nil"/>
        </w:pBdr>
        <w:spacing w:after="0"/>
      </w:pPr>
      <w:r>
        <w:t xml:space="preserve">Program Learning Outcomes (Also known as Goals) and related SLO’s </w:t>
      </w:r>
    </w:p>
    <w:p w14:paraId="4A437CC5" w14:textId="77777777" w:rsidR="00706781" w:rsidRDefault="00000000">
      <w:pPr>
        <w:pBdr>
          <w:top w:val="nil"/>
          <w:left w:val="nil"/>
          <w:bottom w:val="nil"/>
          <w:right w:val="nil"/>
          <w:between w:val="nil"/>
        </w:pBdr>
        <w:spacing w:after="0"/>
        <w:ind w:left="720"/>
        <w:rPr>
          <w:rFonts w:cs="Calibri"/>
          <w:color w:val="000000"/>
        </w:rPr>
      </w:pPr>
      <w:r>
        <w:t xml:space="preserve">Program Learning Outcomes or GOALS are the specific knowledge and skills that the department/program will develop or strengthen in students. These PLOs or Goals may be broader than SLOs but must be measurable and each PLO must have at least one SLO to which is directly linked/aligned. </w:t>
      </w:r>
    </w:p>
    <w:p w14:paraId="1A167633" w14:textId="77777777" w:rsidR="00706781" w:rsidRDefault="00000000">
      <w:pPr>
        <w:numPr>
          <w:ilvl w:val="0"/>
          <w:numId w:val="1"/>
        </w:numPr>
        <w:pBdr>
          <w:top w:val="nil"/>
          <w:left w:val="nil"/>
          <w:bottom w:val="nil"/>
          <w:right w:val="nil"/>
          <w:between w:val="nil"/>
        </w:pBdr>
        <w:spacing w:after="0"/>
        <w:rPr>
          <w:b/>
          <w:i/>
        </w:rPr>
      </w:pPr>
      <w:r>
        <w:rPr>
          <w:b/>
          <w:i/>
        </w:rPr>
        <w:t xml:space="preserve">PLO (Goal): </w:t>
      </w:r>
      <w:r>
        <w:rPr>
          <w:b/>
          <w:i/>
          <w:color w:val="000000"/>
        </w:rPr>
        <w:t>Demonstrate problem-solving and decision-making in construction management.</w:t>
      </w:r>
    </w:p>
    <w:p w14:paraId="6AC133D4" w14:textId="77777777" w:rsidR="00706781" w:rsidRDefault="00000000">
      <w:pPr>
        <w:numPr>
          <w:ilvl w:val="1"/>
          <w:numId w:val="1"/>
        </w:numPr>
        <w:pBdr>
          <w:top w:val="nil"/>
          <w:left w:val="nil"/>
          <w:bottom w:val="nil"/>
          <w:right w:val="nil"/>
          <w:between w:val="nil"/>
        </w:pBdr>
        <w:spacing w:after="0"/>
      </w:pPr>
      <w:r>
        <w:t>SLO: Students will analyze case projects and make data-driven decisions in construction management.</w:t>
      </w:r>
    </w:p>
    <w:p w14:paraId="10EE39CA" w14:textId="77777777" w:rsidR="00706781" w:rsidRDefault="00000000">
      <w:pPr>
        <w:numPr>
          <w:ilvl w:val="0"/>
          <w:numId w:val="1"/>
        </w:numPr>
        <w:pBdr>
          <w:top w:val="nil"/>
          <w:left w:val="nil"/>
          <w:bottom w:val="nil"/>
          <w:right w:val="nil"/>
          <w:between w:val="nil"/>
        </w:pBdr>
        <w:spacing w:after="0"/>
        <w:rPr>
          <w:b/>
          <w:i/>
        </w:rPr>
      </w:pPr>
      <w:r>
        <w:rPr>
          <w:b/>
          <w:i/>
        </w:rPr>
        <w:t xml:space="preserve">PLO (Goal) </w:t>
      </w:r>
      <w:r>
        <w:rPr>
          <w:b/>
          <w:i/>
          <w:color w:val="000000"/>
        </w:rPr>
        <w:t>Create effective and professional oral and written communications appropriate to the construction discipline.</w:t>
      </w:r>
    </w:p>
    <w:p w14:paraId="1E2BB1D5" w14:textId="77777777" w:rsidR="00706781" w:rsidRDefault="00000000">
      <w:pPr>
        <w:numPr>
          <w:ilvl w:val="1"/>
          <w:numId w:val="1"/>
        </w:numPr>
        <w:pBdr>
          <w:top w:val="nil"/>
          <w:left w:val="nil"/>
          <w:bottom w:val="nil"/>
          <w:right w:val="nil"/>
          <w:between w:val="nil"/>
        </w:pBdr>
        <w:spacing w:after="0"/>
      </w:pPr>
      <w:r>
        <w:t>SLO: Students will demonstrate proficiency in using construction-specific terminology in oral communications.</w:t>
      </w:r>
    </w:p>
    <w:p w14:paraId="0D51FBBE" w14:textId="77777777" w:rsidR="00706781" w:rsidRDefault="00000000">
      <w:pPr>
        <w:numPr>
          <w:ilvl w:val="1"/>
          <w:numId w:val="1"/>
        </w:numPr>
        <w:spacing w:after="0"/>
      </w:pPr>
      <w:r>
        <w:t>SLO: Students will demonstrate proficiency in using construction-specific terminology in written communications.</w:t>
      </w:r>
    </w:p>
    <w:p w14:paraId="1D3366D1" w14:textId="77777777" w:rsidR="00706781" w:rsidRDefault="00000000">
      <w:pPr>
        <w:numPr>
          <w:ilvl w:val="0"/>
          <w:numId w:val="1"/>
        </w:numPr>
        <w:pBdr>
          <w:top w:val="nil"/>
          <w:left w:val="nil"/>
          <w:bottom w:val="nil"/>
          <w:right w:val="nil"/>
          <w:between w:val="nil"/>
        </w:pBdr>
        <w:spacing w:after="0"/>
        <w:rPr>
          <w:b/>
          <w:i/>
        </w:rPr>
      </w:pPr>
      <w:r>
        <w:rPr>
          <w:b/>
          <w:i/>
        </w:rPr>
        <w:lastRenderedPageBreak/>
        <w:t xml:space="preserve">PLO (Goal) </w:t>
      </w:r>
      <w:r>
        <w:rPr>
          <w:b/>
          <w:i/>
          <w:color w:val="000000"/>
        </w:rPr>
        <w:t>Apply technologies, innovations, and processes to construction management.</w:t>
      </w:r>
    </w:p>
    <w:p w14:paraId="57FC1BA4" w14:textId="77777777" w:rsidR="00706781" w:rsidRDefault="00000000">
      <w:pPr>
        <w:numPr>
          <w:ilvl w:val="1"/>
          <w:numId w:val="1"/>
        </w:numPr>
        <w:pBdr>
          <w:top w:val="nil"/>
          <w:left w:val="nil"/>
          <w:bottom w:val="nil"/>
          <w:right w:val="nil"/>
          <w:between w:val="nil"/>
        </w:pBdr>
        <w:spacing w:after="0"/>
      </w:pPr>
      <w:r>
        <w:t>SLO: Students will use emerging technologies, innovative practices, and effective processes to plan and manage projects.</w:t>
      </w:r>
    </w:p>
    <w:p w14:paraId="7DBD59DC" w14:textId="77777777" w:rsidR="00706781" w:rsidRDefault="00000000">
      <w:pPr>
        <w:numPr>
          <w:ilvl w:val="0"/>
          <w:numId w:val="1"/>
        </w:numPr>
        <w:pBdr>
          <w:top w:val="nil"/>
          <w:left w:val="nil"/>
          <w:bottom w:val="nil"/>
          <w:right w:val="nil"/>
          <w:between w:val="nil"/>
        </w:pBdr>
        <w:spacing w:after="0"/>
      </w:pPr>
      <w:r>
        <w:rPr>
          <w:b/>
          <w:i/>
        </w:rPr>
        <w:t xml:space="preserve">PLO (Goal) </w:t>
      </w:r>
      <w:r>
        <w:rPr>
          <w:b/>
          <w:i/>
          <w:color w:val="000000"/>
        </w:rPr>
        <w:t xml:space="preserve">Demonstrate understanding of </w:t>
      </w:r>
      <w:r>
        <w:rPr>
          <w:b/>
          <w:i/>
        </w:rPr>
        <w:t>leadership principles</w:t>
      </w:r>
      <w:r>
        <w:rPr>
          <w:b/>
          <w:i/>
          <w:color w:val="000000"/>
        </w:rPr>
        <w:t xml:space="preserve"> in business and construction management.</w:t>
      </w:r>
    </w:p>
    <w:p w14:paraId="642D53B7" w14:textId="77777777" w:rsidR="00706781" w:rsidRDefault="00000000">
      <w:pPr>
        <w:numPr>
          <w:ilvl w:val="1"/>
          <w:numId w:val="1"/>
        </w:numPr>
        <w:pBdr>
          <w:top w:val="nil"/>
          <w:left w:val="nil"/>
          <w:bottom w:val="nil"/>
          <w:right w:val="nil"/>
          <w:between w:val="nil"/>
        </w:pBdr>
        <w:spacing w:after="0"/>
      </w:pPr>
      <w:r>
        <w:t>SLO: Students will apply leadership principles through the analysis of case studies and participation in real-life project simulations.</w:t>
      </w:r>
    </w:p>
    <w:p w14:paraId="39F18AFE" w14:textId="77777777" w:rsidR="00706781" w:rsidRDefault="00000000">
      <w:pPr>
        <w:numPr>
          <w:ilvl w:val="0"/>
          <w:numId w:val="1"/>
        </w:numPr>
        <w:pBdr>
          <w:top w:val="nil"/>
          <w:left w:val="nil"/>
          <w:bottom w:val="nil"/>
          <w:right w:val="nil"/>
          <w:between w:val="nil"/>
        </w:pBdr>
        <w:spacing w:after="0"/>
        <w:rPr>
          <w:b/>
          <w:i/>
        </w:rPr>
      </w:pPr>
      <w:r>
        <w:rPr>
          <w:b/>
          <w:i/>
        </w:rPr>
        <w:t xml:space="preserve">PLO (Goal) </w:t>
      </w:r>
      <w:r>
        <w:rPr>
          <w:b/>
          <w:i/>
          <w:color w:val="000000"/>
        </w:rPr>
        <w:t>Evaluate professional decisions based on ethical principles in the construction industry.</w:t>
      </w:r>
    </w:p>
    <w:p w14:paraId="026E0140" w14:textId="77777777" w:rsidR="00706781" w:rsidRDefault="00000000">
      <w:pPr>
        <w:numPr>
          <w:ilvl w:val="1"/>
          <w:numId w:val="1"/>
        </w:numPr>
        <w:pBdr>
          <w:top w:val="nil"/>
          <w:left w:val="nil"/>
          <w:bottom w:val="nil"/>
          <w:right w:val="nil"/>
          <w:between w:val="nil"/>
        </w:pBdr>
        <w:spacing w:after="0"/>
      </w:pPr>
      <w:r>
        <w:t>SLO: Students will analyze the implications of ethical decision-making on project outcomes and stakeholder relationships.</w:t>
      </w:r>
    </w:p>
    <w:p w14:paraId="5132B8F5" w14:textId="77777777" w:rsidR="00706781" w:rsidRDefault="00000000">
      <w:pPr>
        <w:numPr>
          <w:ilvl w:val="0"/>
          <w:numId w:val="1"/>
        </w:numPr>
        <w:pBdr>
          <w:top w:val="nil"/>
          <w:left w:val="nil"/>
          <w:bottom w:val="nil"/>
          <w:right w:val="nil"/>
          <w:between w:val="nil"/>
        </w:pBdr>
        <w:spacing w:after="0"/>
        <w:rPr>
          <w:b/>
          <w:i/>
        </w:rPr>
      </w:pPr>
      <w:r>
        <w:rPr>
          <w:b/>
          <w:i/>
        </w:rPr>
        <w:t xml:space="preserve">PLO (Goal) </w:t>
      </w:r>
      <w:r>
        <w:rPr>
          <w:b/>
          <w:i/>
          <w:color w:val="000000"/>
        </w:rPr>
        <w:t>Analyze advanced construction management practices.</w:t>
      </w:r>
    </w:p>
    <w:p w14:paraId="21EE7E80" w14:textId="77777777" w:rsidR="00706781" w:rsidRDefault="00000000">
      <w:pPr>
        <w:numPr>
          <w:ilvl w:val="1"/>
          <w:numId w:val="1"/>
        </w:numPr>
        <w:pBdr>
          <w:top w:val="nil"/>
          <w:left w:val="nil"/>
          <w:bottom w:val="nil"/>
          <w:right w:val="nil"/>
          <w:between w:val="nil"/>
        </w:pBdr>
        <w:spacing w:after="0"/>
      </w:pPr>
      <w:r>
        <w:t>SLO: Students will critically assess current trends and best practices in construction project management through research and case studies.</w:t>
      </w:r>
    </w:p>
    <w:p w14:paraId="5577C9C4" w14:textId="77777777" w:rsidR="00706781" w:rsidRDefault="00000000">
      <w:pPr>
        <w:numPr>
          <w:ilvl w:val="0"/>
          <w:numId w:val="1"/>
        </w:numPr>
        <w:spacing w:after="0"/>
        <w:rPr>
          <w:b/>
          <w:i/>
        </w:rPr>
      </w:pPr>
      <w:r>
        <w:rPr>
          <w:b/>
          <w:i/>
        </w:rPr>
        <w:t>PLO (Goal) Apply basic research methods in construction management.</w:t>
      </w:r>
    </w:p>
    <w:p w14:paraId="6F84592A" w14:textId="77777777" w:rsidR="00706781" w:rsidRDefault="00000000">
      <w:pPr>
        <w:numPr>
          <w:ilvl w:val="1"/>
          <w:numId w:val="1"/>
        </w:numPr>
      </w:pPr>
      <w:r>
        <w:t>SLO: Students will demonstrate the application of research methods to solve a construction management problem.</w:t>
      </w:r>
    </w:p>
    <w:p w14:paraId="435D8EDA" w14:textId="77777777" w:rsidR="00706781" w:rsidRDefault="00000000">
      <w:pPr>
        <w:pStyle w:val="Heading2"/>
        <w:numPr>
          <w:ilvl w:val="0"/>
          <w:numId w:val="2"/>
        </w:numPr>
      </w:pPr>
      <w:r>
        <w:t>Curriculum Map [d]: Courses in which SLO’s are addressed and evaluated</w:t>
      </w:r>
    </w:p>
    <w:p w14:paraId="773E1EED" w14:textId="77777777" w:rsidR="00706781" w:rsidRDefault="00000000">
      <w:r>
        <w:t xml:space="preserve">A comprehensive mapping was conducted to allocate the PLO/SLO assessment effort to relevant courses. The complete mapping is summarized below in Table 1. The PLOs &amp; SLOs will be assessed at different levels in these courses, which include: </w:t>
      </w:r>
      <w:r>
        <w:rPr>
          <w:b/>
        </w:rPr>
        <w:t>I = Introduced, D = Developed, and M = Mastered.</w:t>
      </w:r>
      <w:r>
        <w:t xml:space="preserve"> Courses that are used to assess the allocated PLOs directly will be labeled with Direct Assessment (DA).  </w:t>
      </w:r>
    </w:p>
    <w:p w14:paraId="25357338" w14:textId="77777777" w:rsidR="00706781" w:rsidRDefault="00000000">
      <w:r>
        <w:t>Table 1. MSCM PLOs/SLOs and Course Mapping</w:t>
      </w:r>
    </w:p>
    <w:tbl>
      <w:tblPr>
        <w:tblStyle w:val="a5"/>
        <w:tblW w:w="8505"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990"/>
        <w:gridCol w:w="1290"/>
        <w:gridCol w:w="1020"/>
        <w:gridCol w:w="1125"/>
        <w:gridCol w:w="900"/>
        <w:gridCol w:w="1005"/>
        <w:gridCol w:w="1170"/>
      </w:tblGrid>
      <w:tr w:rsidR="00706781" w:rsidRPr="000A62B6" w14:paraId="4F2EB91B" w14:textId="77777777">
        <w:trPr>
          <w:tblHeader/>
        </w:trPr>
        <w:tc>
          <w:tcPr>
            <w:tcW w:w="1005" w:type="dxa"/>
          </w:tcPr>
          <w:p w14:paraId="0E91EE68" w14:textId="77777777" w:rsidR="00706781" w:rsidRPr="000A62B6" w:rsidRDefault="00000000">
            <w:pP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Courses</w:t>
            </w:r>
          </w:p>
        </w:tc>
        <w:tc>
          <w:tcPr>
            <w:tcW w:w="990" w:type="dxa"/>
          </w:tcPr>
          <w:p w14:paraId="0F73D510"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PLO 1/</w:t>
            </w:r>
          </w:p>
          <w:p w14:paraId="69C19303"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SLO 1a</w:t>
            </w:r>
          </w:p>
        </w:tc>
        <w:tc>
          <w:tcPr>
            <w:tcW w:w="1290" w:type="dxa"/>
          </w:tcPr>
          <w:p w14:paraId="4231CFE1"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PLO 2/</w:t>
            </w:r>
          </w:p>
          <w:p w14:paraId="0C00B2E6"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SLO 2a, 2b</w:t>
            </w:r>
          </w:p>
        </w:tc>
        <w:tc>
          <w:tcPr>
            <w:tcW w:w="1020" w:type="dxa"/>
          </w:tcPr>
          <w:p w14:paraId="11DBD1F6"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PLO 3/</w:t>
            </w:r>
          </w:p>
          <w:p w14:paraId="39128AE2"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SLO 3a</w:t>
            </w:r>
          </w:p>
        </w:tc>
        <w:tc>
          <w:tcPr>
            <w:tcW w:w="1125" w:type="dxa"/>
          </w:tcPr>
          <w:p w14:paraId="1766C2A4"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PLO 4/</w:t>
            </w:r>
          </w:p>
          <w:p w14:paraId="5C45CC71"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SLO 4a</w:t>
            </w:r>
          </w:p>
        </w:tc>
        <w:tc>
          <w:tcPr>
            <w:tcW w:w="900" w:type="dxa"/>
          </w:tcPr>
          <w:p w14:paraId="7CC0F419"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PLO 5/</w:t>
            </w:r>
          </w:p>
          <w:p w14:paraId="11615640"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SLO 5a</w:t>
            </w:r>
          </w:p>
        </w:tc>
        <w:tc>
          <w:tcPr>
            <w:tcW w:w="1005" w:type="dxa"/>
          </w:tcPr>
          <w:p w14:paraId="5E368FC4"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PLO 6/</w:t>
            </w:r>
          </w:p>
          <w:p w14:paraId="6E364D15"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SLO 6a</w:t>
            </w:r>
          </w:p>
        </w:tc>
        <w:tc>
          <w:tcPr>
            <w:tcW w:w="1170" w:type="dxa"/>
          </w:tcPr>
          <w:p w14:paraId="34381AA3"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PLO 7/</w:t>
            </w:r>
          </w:p>
          <w:p w14:paraId="6762AA5E"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SLO 7a</w:t>
            </w:r>
          </w:p>
        </w:tc>
      </w:tr>
      <w:tr w:rsidR="00706781" w:rsidRPr="000A62B6" w14:paraId="5C15A694" w14:textId="77777777">
        <w:tc>
          <w:tcPr>
            <w:tcW w:w="1005" w:type="dxa"/>
          </w:tcPr>
          <w:p w14:paraId="4E801C4C"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CM220</w:t>
            </w:r>
          </w:p>
        </w:tc>
        <w:tc>
          <w:tcPr>
            <w:tcW w:w="990" w:type="dxa"/>
          </w:tcPr>
          <w:p w14:paraId="23CA6122"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 xml:space="preserve">M (DA)  </w:t>
            </w:r>
          </w:p>
        </w:tc>
        <w:tc>
          <w:tcPr>
            <w:tcW w:w="1290" w:type="dxa"/>
          </w:tcPr>
          <w:p w14:paraId="25FD20CE"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D</w:t>
            </w:r>
          </w:p>
        </w:tc>
        <w:tc>
          <w:tcPr>
            <w:tcW w:w="1020" w:type="dxa"/>
          </w:tcPr>
          <w:p w14:paraId="7AE0554D"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I (DA)</w:t>
            </w:r>
          </w:p>
        </w:tc>
        <w:tc>
          <w:tcPr>
            <w:tcW w:w="1125" w:type="dxa"/>
          </w:tcPr>
          <w:p w14:paraId="0B355C58" w14:textId="77777777" w:rsidR="00706781" w:rsidRPr="000A62B6" w:rsidRDefault="00706781">
            <w:pPr>
              <w:jc w:val="center"/>
              <w:rPr>
                <w:rFonts w:asciiTheme="minorHAnsi" w:hAnsiTheme="minorHAnsi" w:cstheme="minorHAnsi"/>
                <w:color w:val="000000" w:themeColor="text1"/>
                <w:sz w:val="20"/>
                <w:szCs w:val="20"/>
              </w:rPr>
            </w:pPr>
          </w:p>
        </w:tc>
        <w:tc>
          <w:tcPr>
            <w:tcW w:w="900" w:type="dxa"/>
          </w:tcPr>
          <w:p w14:paraId="192448B4" w14:textId="77777777" w:rsidR="00706781" w:rsidRPr="000A62B6" w:rsidRDefault="00706781">
            <w:pPr>
              <w:jc w:val="center"/>
              <w:rPr>
                <w:rFonts w:asciiTheme="minorHAnsi" w:hAnsiTheme="minorHAnsi" w:cstheme="minorHAnsi"/>
                <w:color w:val="000000" w:themeColor="text1"/>
                <w:sz w:val="20"/>
                <w:szCs w:val="20"/>
              </w:rPr>
            </w:pPr>
          </w:p>
        </w:tc>
        <w:tc>
          <w:tcPr>
            <w:tcW w:w="1005" w:type="dxa"/>
          </w:tcPr>
          <w:p w14:paraId="2005E5BA"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D</w:t>
            </w:r>
          </w:p>
        </w:tc>
        <w:tc>
          <w:tcPr>
            <w:tcW w:w="1170" w:type="dxa"/>
          </w:tcPr>
          <w:p w14:paraId="1D4ADD39" w14:textId="77777777" w:rsidR="00706781" w:rsidRPr="000A62B6" w:rsidRDefault="00706781">
            <w:pPr>
              <w:jc w:val="center"/>
              <w:rPr>
                <w:rFonts w:asciiTheme="minorHAnsi" w:hAnsiTheme="minorHAnsi" w:cstheme="minorHAnsi"/>
                <w:color w:val="000000" w:themeColor="text1"/>
                <w:sz w:val="20"/>
                <w:szCs w:val="20"/>
              </w:rPr>
            </w:pPr>
          </w:p>
        </w:tc>
      </w:tr>
      <w:tr w:rsidR="00706781" w:rsidRPr="000A62B6" w14:paraId="542B988F" w14:textId="77777777">
        <w:tc>
          <w:tcPr>
            <w:tcW w:w="1005" w:type="dxa"/>
          </w:tcPr>
          <w:p w14:paraId="45A4518F"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CM230</w:t>
            </w:r>
          </w:p>
        </w:tc>
        <w:tc>
          <w:tcPr>
            <w:tcW w:w="990" w:type="dxa"/>
          </w:tcPr>
          <w:p w14:paraId="4BD9B3F7"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M</w:t>
            </w:r>
          </w:p>
        </w:tc>
        <w:tc>
          <w:tcPr>
            <w:tcW w:w="1290" w:type="dxa"/>
          </w:tcPr>
          <w:p w14:paraId="79D9DC79" w14:textId="77777777" w:rsidR="00706781" w:rsidRPr="000A62B6" w:rsidRDefault="00706781">
            <w:pPr>
              <w:jc w:val="center"/>
              <w:rPr>
                <w:rFonts w:asciiTheme="minorHAnsi" w:hAnsiTheme="minorHAnsi" w:cstheme="minorHAnsi"/>
                <w:color w:val="000000" w:themeColor="text1"/>
                <w:sz w:val="20"/>
                <w:szCs w:val="20"/>
              </w:rPr>
            </w:pPr>
          </w:p>
        </w:tc>
        <w:tc>
          <w:tcPr>
            <w:tcW w:w="1020" w:type="dxa"/>
          </w:tcPr>
          <w:p w14:paraId="35EC14AE"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D</w:t>
            </w:r>
          </w:p>
        </w:tc>
        <w:tc>
          <w:tcPr>
            <w:tcW w:w="1125" w:type="dxa"/>
          </w:tcPr>
          <w:p w14:paraId="3CE22177"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I (DA)</w:t>
            </w:r>
          </w:p>
        </w:tc>
        <w:tc>
          <w:tcPr>
            <w:tcW w:w="900" w:type="dxa"/>
          </w:tcPr>
          <w:p w14:paraId="4A2AAC4B" w14:textId="77777777" w:rsidR="00706781" w:rsidRPr="000A62B6" w:rsidRDefault="00706781">
            <w:pPr>
              <w:jc w:val="center"/>
              <w:rPr>
                <w:rFonts w:asciiTheme="minorHAnsi" w:hAnsiTheme="minorHAnsi" w:cstheme="minorHAnsi"/>
                <w:color w:val="000000" w:themeColor="text1"/>
                <w:sz w:val="20"/>
                <w:szCs w:val="20"/>
              </w:rPr>
            </w:pPr>
          </w:p>
        </w:tc>
        <w:tc>
          <w:tcPr>
            <w:tcW w:w="1005" w:type="dxa"/>
          </w:tcPr>
          <w:p w14:paraId="62209FD2"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D (DA)</w:t>
            </w:r>
          </w:p>
        </w:tc>
        <w:tc>
          <w:tcPr>
            <w:tcW w:w="1170" w:type="dxa"/>
          </w:tcPr>
          <w:p w14:paraId="18A02EAE" w14:textId="77777777" w:rsidR="00706781" w:rsidRPr="000A62B6" w:rsidRDefault="00706781">
            <w:pPr>
              <w:jc w:val="center"/>
              <w:rPr>
                <w:rFonts w:asciiTheme="minorHAnsi" w:hAnsiTheme="minorHAnsi" w:cstheme="minorHAnsi"/>
                <w:color w:val="000000" w:themeColor="text1"/>
                <w:sz w:val="20"/>
                <w:szCs w:val="20"/>
              </w:rPr>
            </w:pPr>
          </w:p>
        </w:tc>
      </w:tr>
      <w:tr w:rsidR="00706781" w:rsidRPr="000A62B6" w14:paraId="4457D777" w14:textId="77777777">
        <w:tc>
          <w:tcPr>
            <w:tcW w:w="1005" w:type="dxa"/>
          </w:tcPr>
          <w:p w14:paraId="27888D80"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CM240</w:t>
            </w:r>
          </w:p>
        </w:tc>
        <w:tc>
          <w:tcPr>
            <w:tcW w:w="990" w:type="dxa"/>
          </w:tcPr>
          <w:p w14:paraId="3CA94263" w14:textId="77777777" w:rsidR="00706781" w:rsidRPr="000A62B6" w:rsidRDefault="00706781">
            <w:pPr>
              <w:jc w:val="center"/>
              <w:rPr>
                <w:rFonts w:asciiTheme="minorHAnsi" w:hAnsiTheme="minorHAnsi" w:cstheme="minorHAnsi"/>
                <w:color w:val="000000" w:themeColor="text1"/>
                <w:sz w:val="20"/>
                <w:szCs w:val="20"/>
              </w:rPr>
            </w:pPr>
          </w:p>
        </w:tc>
        <w:tc>
          <w:tcPr>
            <w:tcW w:w="1290" w:type="dxa"/>
          </w:tcPr>
          <w:p w14:paraId="4464B678"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D (DA)</w:t>
            </w:r>
          </w:p>
        </w:tc>
        <w:tc>
          <w:tcPr>
            <w:tcW w:w="1020" w:type="dxa"/>
          </w:tcPr>
          <w:p w14:paraId="66B8DFA6" w14:textId="77777777" w:rsidR="00706781" w:rsidRPr="000A62B6" w:rsidRDefault="00706781">
            <w:pPr>
              <w:jc w:val="center"/>
              <w:rPr>
                <w:rFonts w:asciiTheme="minorHAnsi" w:hAnsiTheme="minorHAnsi" w:cstheme="minorHAnsi"/>
                <w:color w:val="000000" w:themeColor="text1"/>
                <w:sz w:val="20"/>
                <w:szCs w:val="20"/>
              </w:rPr>
            </w:pPr>
          </w:p>
        </w:tc>
        <w:tc>
          <w:tcPr>
            <w:tcW w:w="1125" w:type="dxa"/>
          </w:tcPr>
          <w:p w14:paraId="5D68DD23"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D</w:t>
            </w:r>
          </w:p>
        </w:tc>
        <w:tc>
          <w:tcPr>
            <w:tcW w:w="900" w:type="dxa"/>
          </w:tcPr>
          <w:p w14:paraId="1AF86EE5"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D (DA)</w:t>
            </w:r>
          </w:p>
        </w:tc>
        <w:tc>
          <w:tcPr>
            <w:tcW w:w="1005" w:type="dxa"/>
          </w:tcPr>
          <w:p w14:paraId="47C2FF3D" w14:textId="77777777" w:rsidR="00706781" w:rsidRPr="000A62B6" w:rsidRDefault="00706781">
            <w:pPr>
              <w:jc w:val="center"/>
              <w:rPr>
                <w:rFonts w:asciiTheme="minorHAnsi" w:hAnsiTheme="minorHAnsi" w:cstheme="minorHAnsi"/>
                <w:color w:val="000000" w:themeColor="text1"/>
                <w:sz w:val="20"/>
                <w:szCs w:val="20"/>
              </w:rPr>
            </w:pPr>
          </w:p>
        </w:tc>
        <w:tc>
          <w:tcPr>
            <w:tcW w:w="1170" w:type="dxa"/>
          </w:tcPr>
          <w:p w14:paraId="1EC69BE8" w14:textId="77777777" w:rsidR="00706781" w:rsidRPr="000A62B6" w:rsidRDefault="00706781">
            <w:pPr>
              <w:jc w:val="center"/>
              <w:rPr>
                <w:rFonts w:asciiTheme="minorHAnsi" w:hAnsiTheme="minorHAnsi" w:cstheme="minorHAnsi"/>
                <w:color w:val="000000" w:themeColor="text1"/>
                <w:sz w:val="20"/>
                <w:szCs w:val="20"/>
              </w:rPr>
            </w:pPr>
          </w:p>
        </w:tc>
      </w:tr>
      <w:tr w:rsidR="00706781" w:rsidRPr="000A62B6" w14:paraId="044992BC" w14:textId="77777777">
        <w:tc>
          <w:tcPr>
            <w:tcW w:w="1005" w:type="dxa"/>
          </w:tcPr>
          <w:p w14:paraId="78F1D54E" w14:textId="77777777" w:rsidR="00706781" w:rsidRPr="000A62B6" w:rsidRDefault="000A62B6">
            <w:pP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 xml:space="preserve">  CM210</w:t>
            </w:r>
          </w:p>
        </w:tc>
        <w:tc>
          <w:tcPr>
            <w:tcW w:w="990" w:type="dxa"/>
          </w:tcPr>
          <w:p w14:paraId="709112CF" w14:textId="77777777" w:rsidR="00706781" w:rsidRPr="000A62B6" w:rsidRDefault="00706781">
            <w:pPr>
              <w:jc w:val="center"/>
              <w:rPr>
                <w:rFonts w:asciiTheme="minorHAnsi" w:hAnsiTheme="minorHAnsi" w:cstheme="minorHAnsi"/>
                <w:color w:val="000000" w:themeColor="text1"/>
                <w:sz w:val="20"/>
                <w:szCs w:val="20"/>
              </w:rPr>
            </w:pPr>
          </w:p>
        </w:tc>
        <w:tc>
          <w:tcPr>
            <w:tcW w:w="1290" w:type="dxa"/>
          </w:tcPr>
          <w:p w14:paraId="088B8A9C"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 xml:space="preserve">M </w:t>
            </w:r>
          </w:p>
        </w:tc>
        <w:tc>
          <w:tcPr>
            <w:tcW w:w="1020" w:type="dxa"/>
          </w:tcPr>
          <w:p w14:paraId="6C513C70" w14:textId="77777777" w:rsidR="00706781" w:rsidRPr="000A62B6" w:rsidRDefault="00706781">
            <w:pPr>
              <w:jc w:val="center"/>
              <w:rPr>
                <w:rFonts w:asciiTheme="minorHAnsi" w:hAnsiTheme="minorHAnsi" w:cstheme="minorHAnsi"/>
                <w:color w:val="000000" w:themeColor="text1"/>
                <w:sz w:val="20"/>
                <w:szCs w:val="20"/>
              </w:rPr>
            </w:pPr>
          </w:p>
        </w:tc>
        <w:tc>
          <w:tcPr>
            <w:tcW w:w="1125" w:type="dxa"/>
          </w:tcPr>
          <w:p w14:paraId="0388969E" w14:textId="77777777" w:rsidR="00706781" w:rsidRPr="000A62B6" w:rsidRDefault="00706781">
            <w:pPr>
              <w:jc w:val="center"/>
              <w:rPr>
                <w:rFonts w:asciiTheme="minorHAnsi" w:hAnsiTheme="minorHAnsi" w:cstheme="minorHAnsi"/>
                <w:color w:val="000000" w:themeColor="text1"/>
                <w:sz w:val="20"/>
                <w:szCs w:val="20"/>
              </w:rPr>
            </w:pPr>
          </w:p>
        </w:tc>
        <w:tc>
          <w:tcPr>
            <w:tcW w:w="900" w:type="dxa"/>
          </w:tcPr>
          <w:p w14:paraId="2A06DDAD" w14:textId="77777777" w:rsidR="00706781" w:rsidRPr="000A62B6" w:rsidRDefault="00706781">
            <w:pPr>
              <w:jc w:val="center"/>
              <w:rPr>
                <w:rFonts w:asciiTheme="minorHAnsi" w:hAnsiTheme="minorHAnsi" w:cstheme="minorHAnsi"/>
                <w:color w:val="000000" w:themeColor="text1"/>
                <w:sz w:val="20"/>
                <w:szCs w:val="20"/>
              </w:rPr>
            </w:pPr>
          </w:p>
        </w:tc>
        <w:tc>
          <w:tcPr>
            <w:tcW w:w="1005" w:type="dxa"/>
          </w:tcPr>
          <w:p w14:paraId="64730B1D" w14:textId="77777777" w:rsidR="00706781" w:rsidRPr="000A62B6" w:rsidRDefault="00706781">
            <w:pPr>
              <w:jc w:val="center"/>
              <w:rPr>
                <w:rFonts w:asciiTheme="minorHAnsi" w:hAnsiTheme="minorHAnsi" w:cstheme="minorHAnsi"/>
                <w:color w:val="000000" w:themeColor="text1"/>
                <w:sz w:val="20"/>
                <w:szCs w:val="20"/>
              </w:rPr>
            </w:pPr>
          </w:p>
        </w:tc>
        <w:tc>
          <w:tcPr>
            <w:tcW w:w="1170" w:type="dxa"/>
          </w:tcPr>
          <w:p w14:paraId="2C7E4C80" w14:textId="77777777" w:rsidR="00706781" w:rsidRPr="000A62B6" w:rsidRDefault="00000000">
            <w:pPr>
              <w:jc w:val="center"/>
              <w:rPr>
                <w:rFonts w:asciiTheme="minorHAnsi" w:hAnsiTheme="minorHAnsi" w:cstheme="minorHAnsi"/>
                <w:color w:val="000000" w:themeColor="text1"/>
                <w:sz w:val="20"/>
                <w:szCs w:val="20"/>
              </w:rPr>
            </w:pPr>
            <w:r w:rsidRPr="000A62B6">
              <w:rPr>
                <w:rFonts w:asciiTheme="minorHAnsi" w:hAnsiTheme="minorHAnsi" w:cstheme="minorHAnsi"/>
                <w:color w:val="000000" w:themeColor="text1"/>
                <w:sz w:val="20"/>
                <w:szCs w:val="20"/>
              </w:rPr>
              <w:t>I (DA)</w:t>
            </w:r>
          </w:p>
        </w:tc>
      </w:tr>
    </w:tbl>
    <w:p w14:paraId="158EEDAC" w14:textId="77777777" w:rsidR="00706781" w:rsidRDefault="00706781"/>
    <w:p w14:paraId="27409BE1" w14:textId="77777777" w:rsidR="00706781" w:rsidRDefault="00000000">
      <w:pPr>
        <w:pStyle w:val="Heading2"/>
        <w:numPr>
          <w:ilvl w:val="0"/>
          <w:numId w:val="2"/>
        </w:numPr>
      </w:pPr>
      <w:r>
        <w:t>SLO’s Mapped to Assessment Measures and Methods [e]</w:t>
      </w:r>
    </w:p>
    <w:p w14:paraId="74A8C9A5" w14:textId="77777777" w:rsidR="00706781" w:rsidRDefault="00000000">
      <w:r>
        <w:t xml:space="preserve">Assessment of the SLOs is achieved through formative instruments to measure students’ progress while going through the program, and with summative instruments to measure the students’ level of achievement at the end of the program. </w:t>
      </w:r>
    </w:p>
    <w:p w14:paraId="0A4CC704" w14:textId="77777777" w:rsidR="00B23976" w:rsidRDefault="00B23976">
      <w:pPr>
        <w:spacing w:after="0"/>
      </w:pPr>
    </w:p>
    <w:p w14:paraId="3E7B9289" w14:textId="77777777" w:rsidR="00B23976" w:rsidRDefault="00B23976">
      <w:pPr>
        <w:spacing w:after="0"/>
      </w:pPr>
    </w:p>
    <w:p w14:paraId="25B16072" w14:textId="77777777" w:rsidR="00B23976" w:rsidRDefault="00B23976">
      <w:pPr>
        <w:spacing w:after="0"/>
      </w:pPr>
    </w:p>
    <w:p w14:paraId="20CDC49E" w14:textId="77777777" w:rsidR="00706781" w:rsidRDefault="00000000">
      <w:pPr>
        <w:spacing w:after="0"/>
      </w:pPr>
      <w:r>
        <w:lastRenderedPageBreak/>
        <w:t>Table 2. SLO’s Mapped to Assessment Measures and Evaluation Methods</w:t>
      </w:r>
    </w:p>
    <w:tbl>
      <w:tblPr>
        <w:tblStyle w:val="TableGrid"/>
        <w:tblW w:w="9350" w:type="dxa"/>
        <w:tblLook w:val="04A0" w:firstRow="1" w:lastRow="0" w:firstColumn="1" w:lastColumn="0" w:noHBand="0" w:noVBand="1"/>
      </w:tblPr>
      <w:tblGrid>
        <w:gridCol w:w="1635"/>
        <w:gridCol w:w="1436"/>
        <w:gridCol w:w="784"/>
        <w:gridCol w:w="785"/>
        <w:gridCol w:w="785"/>
        <w:gridCol w:w="785"/>
        <w:gridCol w:w="785"/>
        <w:gridCol w:w="785"/>
        <w:gridCol w:w="785"/>
        <w:gridCol w:w="785"/>
      </w:tblGrid>
      <w:tr w:rsidR="000A62B6" w14:paraId="13395996" w14:textId="77777777" w:rsidTr="000A62B6">
        <w:tc>
          <w:tcPr>
            <w:tcW w:w="1051" w:type="dxa"/>
          </w:tcPr>
          <w:p w14:paraId="10FC94A7" w14:textId="77777777" w:rsidR="000A62B6" w:rsidRPr="000A62B6" w:rsidRDefault="000A62B6" w:rsidP="000A62B6">
            <w:pPr>
              <w:rPr>
                <w:rFonts w:asciiTheme="minorHAnsi" w:hAnsiTheme="minorHAnsi" w:cstheme="minorHAnsi"/>
                <w:sz w:val="16"/>
                <w:szCs w:val="16"/>
              </w:rPr>
            </w:pPr>
            <w:proofErr w:type="spellStart"/>
            <w:r w:rsidRPr="000A62B6">
              <w:rPr>
                <w:rFonts w:asciiTheme="minorHAnsi" w:hAnsiTheme="minorHAnsi" w:cstheme="minorHAnsi"/>
                <w:sz w:val="16"/>
                <w:szCs w:val="16"/>
              </w:rPr>
              <w:t>Assmt</w:t>
            </w:r>
            <w:proofErr w:type="spellEnd"/>
            <w:r w:rsidRPr="000A62B6">
              <w:rPr>
                <w:rFonts w:asciiTheme="minorHAnsi" w:hAnsiTheme="minorHAnsi" w:cstheme="minorHAnsi"/>
                <w:sz w:val="16"/>
                <w:szCs w:val="16"/>
              </w:rPr>
              <w:t xml:space="preserve"> Measure</w:t>
            </w:r>
          </w:p>
        </w:tc>
        <w:tc>
          <w:tcPr>
            <w:tcW w:w="923" w:type="dxa"/>
          </w:tcPr>
          <w:p w14:paraId="44DF876F"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Eval.</w:t>
            </w:r>
            <w:r>
              <w:rPr>
                <w:rFonts w:asciiTheme="minorHAnsi" w:hAnsiTheme="minorHAnsi" w:cstheme="minorHAnsi"/>
                <w:sz w:val="16"/>
                <w:szCs w:val="16"/>
              </w:rPr>
              <w:t xml:space="preserve"> </w:t>
            </w:r>
            <w:r w:rsidRPr="000A62B6">
              <w:rPr>
                <w:rFonts w:asciiTheme="minorHAnsi" w:hAnsiTheme="minorHAnsi" w:cstheme="minorHAnsi"/>
                <w:sz w:val="16"/>
                <w:szCs w:val="16"/>
              </w:rPr>
              <w:t>Method</w:t>
            </w:r>
          </w:p>
        </w:tc>
        <w:tc>
          <w:tcPr>
            <w:tcW w:w="504" w:type="dxa"/>
          </w:tcPr>
          <w:p w14:paraId="4E5B9314"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SLO 1a</w:t>
            </w:r>
          </w:p>
        </w:tc>
        <w:tc>
          <w:tcPr>
            <w:tcW w:w="504" w:type="dxa"/>
          </w:tcPr>
          <w:p w14:paraId="2A26335E"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SLO 2a</w:t>
            </w:r>
          </w:p>
        </w:tc>
        <w:tc>
          <w:tcPr>
            <w:tcW w:w="504" w:type="dxa"/>
          </w:tcPr>
          <w:p w14:paraId="168D7378"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SLO 2b</w:t>
            </w:r>
          </w:p>
        </w:tc>
        <w:tc>
          <w:tcPr>
            <w:tcW w:w="504" w:type="dxa"/>
          </w:tcPr>
          <w:p w14:paraId="4B937FA9"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SLO 3a</w:t>
            </w:r>
          </w:p>
        </w:tc>
        <w:tc>
          <w:tcPr>
            <w:tcW w:w="504" w:type="dxa"/>
          </w:tcPr>
          <w:p w14:paraId="749551A8"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SLO 4a</w:t>
            </w:r>
          </w:p>
        </w:tc>
        <w:tc>
          <w:tcPr>
            <w:tcW w:w="504" w:type="dxa"/>
          </w:tcPr>
          <w:p w14:paraId="1F6A7D04"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SLO 5a</w:t>
            </w:r>
          </w:p>
        </w:tc>
        <w:tc>
          <w:tcPr>
            <w:tcW w:w="504" w:type="dxa"/>
          </w:tcPr>
          <w:p w14:paraId="534AB3FB"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SLO 6a</w:t>
            </w:r>
          </w:p>
        </w:tc>
        <w:tc>
          <w:tcPr>
            <w:tcW w:w="504" w:type="dxa"/>
          </w:tcPr>
          <w:p w14:paraId="73E7807E" w14:textId="77777777" w:rsidR="000A62B6" w:rsidRPr="000A62B6" w:rsidRDefault="000A62B6" w:rsidP="000A62B6">
            <w:pPr>
              <w:jc w:val="center"/>
              <w:rPr>
                <w:rFonts w:asciiTheme="minorHAnsi" w:hAnsiTheme="minorHAnsi" w:cstheme="minorHAnsi"/>
                <w:sz w:val="16"/>
                <w:szCs w:val="16"/>
              </w:rPr>
            </w:pPr>
            <w:r>
              <w:rPr>
                <w:rFonts w:asciiTheme="minorHAnsi" w:hAnsiTheme="minorHAnsi" w:cstheme="minorHAnsi"/>
                <w:sz w:val="16"/>
                <w:szCs w:val="16"/>
              </w:rPr>
              <w:t>SLO 7a</w:t>
            </w:r>
          </w:p>
        </w:tc>
      </w:tr>
      <w:tr w:rsidR="000A62B6" w14:paraId="1B04626A" w14:textId="77777777" w:rsidTr="000A62B6">
        <w:tc>
          <w:tcPr>
            <w:tcW w:w="1051" w:type="dxa"/>
          </w:tcPr>
          <w:p w14:paraId="1A2E940E" w14:textId="77777777" w:rsidR="000A62B6" w:rsidRPr="000A62B6" w:rsidRDefault="000A62B6" w:rsidP="000A62B6">
            <w:pPr>
              <w:rPr>
                <w:sz w:val="16"/>
                <w:szCs w:val="16"/>
              </w:rPr>
            </w:pPr>
            <w:r w:rsidRPr="000A62B6">
              <w:rPr>
                <w:sz w:val="16"/>
                <w:szCs w:val="16"/>
              </w:rPr>
              <w:t>CM220 Project</w:t>
            </w:r>
          </w:p>
        </w:tc>
        <w:tc>
          <w:tcPr>
            <w:tcW w:w="923" w:type="dxa"/>
          </w:tcPr>
          <w:p w14:paraId="07F29848"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Rubric</w:t>
            </w:r>
          </w:p>
        </w:tc>
        <w:tc>
          <w:tcPr>
            <w:tcW w:w="504" w:type="dxa"/>
          </w:tcPr>
          <w:p w14:paraId="00C8C8AB"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X </w:t>
            </w:r>
          </w:p>
        </w:tc>
        <w:tc>
          <w:tcPr>
            <w:tcW w:w="504" w:type="dxa"/>
          </w:tcPr>
          <w:p w14:paraId="31C6F8AD"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393ED34D" w14:textId="77777777" w:rsidR="000A62B6" w:rsidRPr="000A62B6" w:rsidRDefault="000A62B6" w:rsidP="000A62B6">
            <w:pPr>
              <w:jc w:val="center"/>
              <w:rPr>
                <w:rFonts w:asciiTheme="minorHAnsi" w:hAnsiTheme="minorHAnsi" w:cstheme="minorHAnsi"/>
                <w:sz w:val="16"/>
                <w:szCs w:val="16"/>
              </w:rPr>
            </w:pPr>
          </w:p>
        </w:tc>
        <w:tc>
          <w:tcPr>
            <w:tcW w:w="504" w:type="dxa"/>
          </w:tcPr>
          <w:p w14:paraId="3A3CF6C5"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4FD3B1CA"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07588481"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69DFEE7A"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4ECC9F34" w14:textId="77777777" w:rsidR="000A62B6" w:rsidRPr="000A62B6" w:rsidRDefault="000A62B6" w:rsidP="000A62B6">
            <w:pPr>
              <w:jc w:val="center"/>
              <w:rPr>
                <w:rFonts w:asciiTheme="minorHAnsi" w:hAnsiTheme="minorHAnsi" w:cstheme="minorHAnsi"/>
                <w:sz w:val="16"/>
                <w:szCs w:val="16"/>
              </w:rPr>
            </w:pPr>
          </w:p>
        </w:tc>
      </w:tr>
      <w:tr w:rsidR="000A62B6" w14:paraId="0B9461A7" w14:textId="77777777" w:rsidTr="000A62B6">
        <w:tc>
          <w:tcPr>
            <w:tcW w:w="1051" w:type="dxa"/>
          </w:tcPr>
          <w:p w14:paraId="12402BCA" w14:textId="77777777" w:rsidR="000A62B6" w:rsidRPr="000A62B6" w:rsidRDefault="000A62B6" w:rsidP="000A62B6">
            <w:pPr>
              <w:rPr>
                <w:sz w:val="16"/>
                <w:szCs w:val="16"/>
              </w:rPr>
            </w:pPr>
            <w:r w:rsidRPr="000A62B6">
              <w:rPr>
                <w:sz w:val="16"/>
                <w:szCs w:val="16"/>
              </w:rPr>
              <w:t xml:space="preserve">CM240 Paper </w:t>
            </w:r>
          </w:p>
        </w:tc>
        <w:tc>
          <w:tcPr>
            <w:tcW w:w="923" w:type="dxa"/>
          </w:tcPr>
          <w:p w14:paraId="42DCAF76"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Rubric</w:t>
            </w:r>
          </w:p>
        </w:tc>
        <w:tc>
          <w:tcPr>
            <w:tcW w:w="504" w:type="dxa"/>
          </w:tcPr>
          <w:p w14:paraId="27441BDC"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7AED802A"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045AC2C6" w14:textId="77777777" w:rsidR="000A62B6" w:rsidRPr="000A62B6" w:rsidRDefault="000A62B6" w:rsidP="000A62B6">
            <w:pPr>
              <w:jc w:val="center"/>
              <w:rPr>
                <w:rFonts w:asciiTheme="minorHAnsi" w:hAnsiTheme="minorHAnsi" w:cstheme="minorHAnsi"/>
                <w:sz w:val="16"/>
                <w:szCs w:val="16"/>
              </w:rPr>
            </w:pPr>
          </w:p>
        </w:tc>
        <w:tc>
          <w:tcPr>
            <w:tcW w:w="504" w:type="dxa"/>
          </w:tcPr>
          <w:p w14:paraId="28EECE9E"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6C794F13"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04DB7747"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727B9D81"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0B565F58" w14:textId="77777777" w:rsidR="000A62B6" w:rsidRPr="000A62B6" w:rsidRDefault="000A62B6" w:rsidP="000A62B6">
            <w:pPr>
              <w:jc w:val="center"/>
              <w:rPr>
                <w:rFonts w:asciiTheme="minorHAnsi" w:hAnsiTheme="minorHAnsi" w:cstheme="minorHAnsi"/>
                <w:sz w:val="16"/>
                <w:szCs w:val="16"/>
              </w:rPr>
            </w:pPr>
          </w:p>
        </w:tc>
      </w:tr>
      <w:tr w:rsidR="000A62B6" w14:paraId="541563AD" w14:textId="77777777" w:rsidTr="000A62B6">
        <w:tc>
          <w:tcPr>
            <w:tcW w:w="1051" w:type="dxa"/>
          </w:tcPr>
          <w:p w14:paraId="5672FD5D" w14:textId="77777777" w:rsidR="000A62B6" w:rsidRPr="000A62B6" w:rsidRDefault="000A62B6" w:rsidP="000A62B6">
            <w:pPr>
              <w:rPr>
                <w:sz w:val="16"/>
                <w:szCs w:val="16"/>
              </w:rPr>
            </w:pPr>
            <w:r w:rsidRPr="000A62B6">
              <w:rPr>
                <w:sz w:val="16"/>
                <w:szCs w:val="16"/>
              </w:rPr>
              <w:t>CM240 Presentation</w:t>
            </w:r>
          </w:p>
        </w:tc>
        <w:tc>
          <w:tcPr>
            <w:tcW w:w="923" w:type="dxa"/>
          </w:tcPr>
          <w:p w14:paraId="146EAD62"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Rubric </w:t>
            </w:r>
          </w:p>
        </w:tc>
        <w:tc>
          <w:tcPr>
            <w:tcW w:w="504" w:type="dxa"/>
          </w:tcPr>
          <w:p w14:paraId="74FE3ED9"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58BDF827"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0AE5CA9C"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2C9A7F5E" w14:textId="77777777" w:rsidR="000A62B6" w:rsidRPr="000A62B6" w:rsidRDefault="000A62B6" w:rsidP="000A62B6">
            <w:pPr>
              <w:rPr>
                <w:rFonts w:asciiTheme="minorHAnsi" w:hAnsiTheme="minorHAnsi" w:cstheme="minorHAnsi"/>
                <w:sz w:val="16"/>
                <w:szCs w:val="16"/>
              </w:rPr>
            </w:pPr>
          </w:p>
        </w:tc>
        <w:tc>
          <w:tcPr>
            <w:tcW w:w="504" w:type="dxa"/>
          </w:tcPr>
          <w:p w14:paraId="3E14F192"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44843F43"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207BC349"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46FF881C" w14:textId="77777777" w:rsidR="000A62B6" w:rsidRPr="000A62B6" w:rsidRDefault="000A62B6" w:rsidP="000A62B6">
            <w:pPr>
              <w:jc w:val="center"/>
              <w:rPr>
                <w:rFonts w:asciiTheme="minorHAnsi" w:hAnsiTheme="minorHAnsi" w:cstheme="minorHAnsi"/>
                <w:sz w:val="16"/>
                <w:szCs w:val="16"/>
              </w:rPr>
            </w:pPr>
          </w:p>
        </w:tc>
      </w:tr>
      <w:tr w:rsidR="000A62B6" w14:paraId="11868CC6" w14:textId="77777777" w:rsidTr="000A62B6">
        <w:tc>
          <w:tcPr>
            <w:tcW w:w="1051" w:type="dxa"/>
          </w:tcPr>
          <w:p w14:paraId="539DC4F4" w14:textId="77777777" w:rsidR="000A62B6" w:rsidRPr="000A62B6" w:rsidRDefault="000A62B6" w:rsidP="000A62B6">
            <w:pPr>
              <w:rPr>
                <w:sz w:val="16"/>
                <w:szCs w:val="16"/>
              </w:rPr>
            </w:pPr>
            <w:r w:rsidRPr="000A62B6">
              <w:rPr>
                <w:sz w:val="16"/>
                <w:szCs w:val="16"/>
              </w:rPr>
              <w:t xml:space="preserve">CM220 Project </w:t>
            </w:r>
          </w:p>
        </w:tc>
        <w:tc>
          <w:tcPr>
            <w:tcW w:w="923" w:type="dxa"/>
          </w:tcPr>
          <w:p w14:paraId="6699AE10"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Rubric</w:t>
            </w:r>
          </w:p>
        </w:tc>
        <w:tc>
          <w:tcPr>
            <w:tcW w:w="504" w:type="dxa"/>
          </w:tcPr>
          <w:p w14:paraId="30B78B75" w14:textId="77777777" w:rsidR="000A62B6" w:rsidRPr="000A62B6" w:rsidRDefault="000A62B6" w:rsidP="000A62B6">
            <w:pPr>
              <w:jc w:val="center"/>
              <w:rPr>
                <w:rFonts w:asciiTheme="minorHAnsi" w:hAnsiTheme="minorHAnsi" w:cstheme="minorHAnsi"/>
                <w:sz w:val="16"/>
                <w:szCs w:val="16"/>
              </w:rPr>
            </w:pPr>
          </w:p>
        </w:tc>
        <w:tc>
          <w:tcPr>
            <w:tcW w:w="504" w:type="dxa"/>
          </w:tcPr>
          <w:p w14:paraId="0C6DD3B6" w14:textId="77777777" w:rsidR="000A62B6" w:rsidRPr="000A62B6" w:rsidRDefault="000A62B6" w:rsidP="000A62B6">
            <w:pPr>
              <w:jc w:val="center"/>
              <w:rPr>
                <w:rFonts w:asciiTheme="minorHAnsi" w:hAnsiTheme="minorHAnsi" w:cstheme="minorHAnsi"/>
                <w:sz w:val="16"/>
                <w:szCs w:val="16"/>
              </w:rPr>
            </w:pPr>
          </w:p>
        </w:tc>
        <w:tc>
          <w:tcPr>
            <w:tcW w:w="504" w:type="dxa"/>
          </w:tcPr>
          <w:p w14:paraId="6C5F962D" w14:textId="77777777" w:rsidR="000A62B6" w:rsidRPr="000A62B6" w:rsidRDefault="000A62B6" w:rsidP="000A62B6">
            <w:pPr>
              <w:jc w:val="center"/>
              <w:rPr>
                <w:rFonts w:asciiTheme="minorHAnsi" w:hAnsiTheme="minorHAnsi" w:cstheme="minorHAnsi"/>
                <w:sz w:val="16"/>
                <w:szCs w:val="16"/>
              </w:rPr>
            </w:pPr>
          </w:p>
        </w:tc>
        <w:tc>
          <w:tcPr>
            <w:tcW w:w="504" w:type="dxa"/>
          </w:tcPr>
          <w:p w14:paraId="2A112ADE"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6FA65D7D" w14:textId="77777777" w:rsidR="000A62B6" w:rsidRPr="000A62B6" w:rsidRDefault="000A62B6" w:rsidP="000A62B6">
            <w:pPr>
              <w:jc w:val="center"/>
              <w:rPr>
                <w:rFonts w:asciiTheme="minorHAnsi" w:hAnsiTheme="minorHAnsi" w:cstheme="minorHAnsi"/>
                <w:sz w:val="16"/>
                <w:szCs w:val="16"/>
              </w:rPr>
            </w:pPr>
          </w:p>
        </w:tc>
        <w:tc>
          <w:tcPr>
            <w:tcW w:w="504" w:type="dxa"/>
          </w:tcPr>
          <w:p w14:paraId="5C5D7241" w14:textId="77777777" w:rsidR="000A62B6" w:rsidRPr="000A62B6" w:rsidRDefault="000A62B6" w:rsidP="000A62B6">
            <w:pPr>
              <w:jc w:val="center"/>
              <w:rPr>
                <w:rFonts w:asciiTheme="minorHAnsi" w:hAnsiTheme="minorHAnsi" w:cstheme="minorHAnsi"/>
                <w:sz w:val="16"/>
                <w:szCs w:val="16"/>
              </w:rPr>
            </w:pPr>
          </w:p>
        </w:tc>
        <w:tc>
          <w:tcPr>
            <w:tcW w:w="504" w:type="dxa"/>
          </w:tcPr>
          <w:p w14:paraId="07F50C8C" w14:textId="77777777" w:rsidR="000A62B6" w:rsidRPr="000A62B6" w:rsidRDefault="000A62B6" w:rsidP="000A62B6">
            <w:pPr>
              <w:jc w:val="center"/>
              <w:rPr>
                <w:rFonts w:asciiTheme="minorHAnsi" w:hAnsiTheme="minorHAnsi" w:cstheme="minorHAnsi"/>
                <w:sz w:val="16"/>
                <w:szCs w:val="16"/>
              </w:rPr>
            </w:pPr>
          </w:p>
        </w:tc>
        <w:tc>
          <w:tcPr>
            <w:tcW w:w="504" w:type="dxa"/>
          </w:tcPr>
          <w:p w14:paraId="5EEEFDAC" w14:textId="77777777" w:rsidR="000A62B6" w:rsidRPr="000A62B6" w:rsidRDefault="000A62B6" w:rsidP="000A62B6">
            <w:pPr>
              <w:jc w:val="center"/>
              <w:rPr>
                <w:rFonts w:asciiTheme="minorHAnsi" w:hAnsiTheme="minorHAnsi" w:cstheme="minorHAnsi"/>
                <w:sz w:val="16"/>
                <w:szCs w:val="16"/>
              </w:rPr>
            </w:pPr>
          </w:p>
        </w:tc>
      </w:tr>
      <w:tr w:rsidR="000A62B6" w14:paraId="679807FE" w14:textId="77777777" w:rsidTr="000A62B6">
        <w:tc>
          <w:tcPr>
            <w:tcW w:w="1051" w:type="dxa"/>
          </w:tcPr>
          <w:p w14:paraId="71D340DF" w14:textId="77777777" w:rsidR="000A62B6" w:rsidRPr="000A62B6" w:rsidRDefault="000A62B6" w:rsidP="000A62B6">
            <w:pPr>
              <w:rPr>
                <w:sz w:val="16"/>
                <w:szCs w:val="16"/>
              </w:rPr>
            </w:pPr>
            <w:r w:rsidRPr="000A62B6">
              <w:rPr>
                <w:sz w:val="16"/>
                <w:szCs w:val="16"/>
              </w:rPr>
              <w:t xml:space="preserve">CM230 Case Study </w:t>
            </w:r>
          </w:p>
        </w:tc>
        <w:tc>
          <w:tcPr>
            <w:tcW w:w="923" w:type="dxa"/>
          </w:tcPr>
          <w:p w14:paraId="506CAD03"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Rubric </w:t>
            </w:r>
          </w:p>
        </w:tc>
        <w:tc>
          <w:tcPr>
            <w:tcW w:w="504" w:type="dxa"/>
          </w:tcPr>
          <w:p w14:paraId="74362B9F"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5D34634D"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3DD27A95" w14:textId="77777777" w:rsidR="000A62B6" w:rsidRPr="000A62B6" w:rsidRDefault="000A62B6" w:rsidP="000A62B6">
            <w:pPr>
              <w:jc w:val="center"/>
              <w:rPr>
                <w:rFonts w:asciiTheme="minorHAnsi" w:hAnsiTheme="minorHAnsi" w:cstheme="minorHAnsi"/>
                <w:sz w:val="16"/>
                <w:szCs w:val="16"/>
              </w:rPr>
            </w:pPr>
          </w:p>
        </w:tc>
        <w:tc>
          <w:tcPr>
            <w:tcW w:w="504" w:type="dxa"/>
          </w:tcPr>
          <w:p w14:paraId="4EB57866"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22D8CBD4"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721057A2"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77FED6F6"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068997FA" w14:textId="77777777" w:rsidR="000A62B6" w:rsidRPr="000A62B6" w:rsidRDefault="000A62B6" w:rsidP="000A62B6">
            <w:pPr>
              <w:jc w:val="center"/>
              <w:rPr>
                <w:rFonts w:asciiTheme="minorHAnsi" w:hAnsiTheme="minorHAnsi" w:cstheme="minorHAnsi"/>
                <w:sz w:val="16"/>
                <w:szCs w:val="16"/>
              </w:rPr>
            </w:pPr>
          </w:p>
        </w:tc>
      </w:tr>
      <w:tr w:rsidR="000A62B6" w14:paraId="50711254" w14:textId="77777777" w:rsidTr="000A62B6">
        <w:tc>
          <w:tcPr>
            <w:tcW w:w="1051" w:type="dxa"/>
          </w:tcPr>
          <w:p w14:paraId="4E7781A0" w14:textId="77777777" w:rsidR="000A62B6" w:rsidRPr="000A62B6" w:rsidRDefault="000A62B6" w:rsidP="000A62B6">
            <w:pPr>
              <w:rPr>
                <w:sz w:val="16"/>
                <w:szCs w:val="16"/>
              </w:rPr>
            </w:pPr>
            <w:r w:rsidRPr="000A62B6">
              <w:rPr>
                <w:sz w:val="16"/>
                <w:szCs w:val="16"/>
              </w:rPr>
              <w:t>CM240 Quiz</w:t>
            </w:r>
          </w:p>
        </w:tc>
        <w:tc>
          <w:tcPr>
            <w:tcW w:w="923" w:type="dxa"/>
          </w:tcPr>
          <w:p w14:paraId="59B4B59C"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Score </w:t>
            </w:r>
          </w:p>
        </w:tc>
        <w:tc>
          <w:tcPr>
            <w:tcW w:w="504" w:type="dxa"/>
          </w:tcPr>
          <w:p w14:paraId="04A7FD63"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3BB07F07"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7D0614FE" w14:textId="77777777" w:rsidR="000A62B6" w:rsidRPr="000A62B6" w:rsidRDefault="000A62B6" w:rsidP="000A62B6">
            <w:pPr>
              <w:jc w:val="center"/>
              <w:rPr>
                <w:rFonts w:asciiTheme="minorHAnsi" w:hAnsiTheme="minorHAnsi" w:cstheme="minorHAnsi"/>
                <w:sz w:val="16"/>
                <w:szCs w:val="16"/>
              </w:rPr>
            </w:pPr>
          </w:p>
        </w:tc>
        <w:tc>
          <w:tcPr>
            <w:tcW w:w="504" w:type="dxa"/>
          </w:tcPr>
          <w:p w14:paraId="6D60523A"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233F61F3"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519D69E3"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1EF415AA"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 xml:space="preserve"> </w:t>
            </w:r>
          </w:p>
        </w:tc>
        <w:tc>
          <w:tcPr>
            <w:tcW w:w="504" w:type="dxa"/>
          </w:tcPr>
          <w:p w14:paraId="14EFD953" w14:textId="77777777" w:rsidR="000A62B6" w:rsidRPr="000A62B6" w:rsidRDefault="000A62B6" w:rsidP="000A62B6">
            <w:pPr>
              <w:jc w:val="center"/>
              <w:rPr>
                <w:rFonts w:asciiTheme="minorHAnsi" w:hAnsiTheme="minorHAnsi" w:cstheme="minorHAnsi"/>
                <w:sz w:val="16"/>
                <w:szCs w:val="16"/>
              </w:rPr>
            </w:pPr>
          </w:p>
        </w:tc>
      </w:tr>
      <w:tr w:rsidR="000A62B6" w14:paraId="42152D3A" w14:textId="77777777" w:rsidTr="000A62B6">
        <w:tc>
          <w:tcPr>
            <w:tcW w:w="1051" w:type="dxa"/>
          </w:tcPr>
          <w:p w14:paraId="1CD8FDCE" w14:textId="77777777" w:rsidR="000A62B6" w:rsidRPr="000A62B6" w:rsidRDefault="000A62B6" w:rsidP="000A62B6">
            <w:pPr>
              <w:rPr>
                <w:sz w:val="16"/>
                <w:szCs w:val="16"/>
              </w:rPr>
            </w:pPr>
            <w:r w:rsidRPr="000A62B6">
              <w:rPr>
                <w:sz w:val="16"/>
                <w:szCs w:val="16"/>
              </w:rPr>
              <w:t>CM230 Project</w:t>
            </w:r>
          </w:p>
        </w:tc>
        <w:tc>
          <w:tcPr>
            <w:tcW w:w="923" w:type="dxa"/>
          </w:tcPr>
          <w:p w14:paraId="4B8D80C8"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Rubric</w:t>
            </w:r>
          </w:p>
        </w:tc>
        <w:tc>
          <w:tcPr>
            <w:tcW w:w="504" w:type="dxa"/>
          </w:tcPr>
          <w:p w14:paraId="0E92544C" w14:textId="77777777" w:rsidR="000A62B6" w:rsidRPr="000A62B6" w:rsidRDefault="000A62B6" w:rsidP="000A62B6">
            <w:pPr>
              <w:jc w:val="center"/>
              <w:rPr>
                <w:rFonts w:asciiTheme="minorHAnsi" w:hAnsiTheme="minorHAnsi" w:cstheme="minorHAnsi"/>
                <w:sz w:val="16"/>
                <w:szCs w:val="16"/>
              </w:rPr>
            </w:pPr>
          </w:p>
        </w:tc>
        <w:tc>
          <w:tcPr>
            <w:tcW w:w="504" w:type="dxa"/>
          </w:tcPr>
          <w:p w14:paraId="1EB8A0B5" w14:textId="77777777" w:rsidR="000A62B6" w:rsidRPr="000A62B6" w:rsidRDefault="000A62B6" w:rsidP="000A62B6">
            <w:pPr>
              <w:jc w:val="center"/>
              <w:rPr>
                <w:rFonts w:asciiTheme="minorHAnsi" w:hAnsiTheme="minorHAnsi" w:cstheme="minorHAnsi"/>
                <w:sz w:val="16"/>
                <w:szCs w:val="16"/>
              </w:rPr>
            </w:pPr>
          </w:p>
        </w:tc>
        <w:tc>
          <w:tcPr>
            <w:tcW w:w="504" w:type="dxa"/>
          </w:tcPr>
          <w:p w14:paraId="2BFA02F7" w14:textId="77777777" w:rsidR="000A62B6" w:rsidRPr="000A62B6" w:rsidRDefault="000A62B6" w:rsidP="000A62B6">
            <w:pPr>
              <w:jc w:val="center"/>
              <w:rPr>
                <w:rFonts w:asciiTheme="minorHAnsi" w:hAnsiTheme="minorHAnsi" w:cstheme="minorHAnsi"/>
                <w:sz w:val="16"/>
                <w:szCs w:val="16"/>
              </w:rPr>
            </w:pPr>
          </w:p>
        </w:tc>
        <w:tc>
          <w:tcPr>
            <w:tcW w:w="504" w:type="dxa"/>
          </w:tcPr>
          <w:p w14:paraId="315094F3" w14:textId="77777777" w:rsidR="000A62B6" w:rsidRPr="000A62B6" w:rsidRDefault="000A62B6" w:rsidP="000A62B6">
            <w:pPr>
              <w:jc w:val="center"/>
              <w:rPr>
                <w:rFonts w:asciiTheme="minorHAnsi" w:hAnsiTheme="minorHAnsi" w:cstheme="minorHAnsi"/>
                <w:sz w:val="16"/>
                <w:szCs w:val="16"/>
              </w:rPr>
            </w:pPr>
          </w:p>
        </w:tc>
        <w:tc>
          <w:tcPr>
            <w:tcW w:w="504" w:type="dxa"/>
          </w:tcPr>
          <w:p w14:paraId="7B6EF23C" w14:textId="77777777" w:rsidR="000A62B6" w:rsidRPr="000A62B6" w:rsidRDefault="000A62B6" w:rsidP="000A62B6">
            <w:pPr>
              <w:jc w:val="center"/>
              <w:rPr>
                <w:rFonts w:asciiTheme="minorHAnsi" w:hAnsiTheme="minorHAnsi" w:cstheme="minorHAnsi"/>
                <w:sz w:val="16"/>
                <w:szCs w:val="16"/>
              </w:rPr>
            </w:pPr>
          </w:p>
        </w:tc>
        <w:tc>
          <w:tcPr>
            <w:tcW w:w="504" w:type="dxa"/>
          </w:tcPr>
          <w:p w14:paraId="6A4FDE55" w14:textId="77777777" w:rsidR="000A62B6" w:rsidRPr="000A62B6" w:rsidRDefault="000A62B6" w:rsidP="000A62B6">
            <w:pPr>
              <w:jc w:val="center"/>
              <w:rPr>
                <w:rFonts w:asciiTheme="minorHAnsi" w:hAnsiTheme="minorHAnsi" w:cstheme="minorHAnsi"/>
                <w:sz w:val="16"/>
                <w:szCs w:val="16"/>
              </w:rPr>
            </w:pPr>
          </w:p>
        </w:tc>
        <w:tc>
          <w:tcPr>
            <w:tcW w:w="504" w:type="dxa"/>
          </w:tcPr>
          <w:p w14:paraId="15114A82"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536418B8" w14:textId="77777777" w:rsidR="000A62B6" w:rsidRPr="000A62B6" w:rsidRDefault="000A62B6" w:rsidP="000A62B6">
            <w:pPr>
              <w:jc w:val="center"/>
              <w:rPr>
                <w:rFonts w:asciiTheme="minorHAnsi" w:hAnsiTheme="minorHAnsi" w:cstheme="minorHAnsi"/>
                <w:sz w:val="16"/>
                <w:szCs w:val="16"/>
              </w:rPr>
            </w:pPr>
          </w:p>
        </w:tc>
      </w:tr>
      <w:tr w:rsidR="000A62B6" w14:paraId="624FE3CF" w14:textId="77777777" w:rsidTr="000A62B6">
        <w:tc>
          <w:tcPr>
            <w:tcW w:w="1051" w:type="dxa"/>
          </w:tcPr>
          <w:p w14:paraId="4174D081" w14:textId="77777777" w:rsidR="000A62B6" w:rsidRPr="000A62B6" w:rsidRDefault="000A62B6" w:rsidP="000A62B6">
            <w:pPr>
              <w:rPr>
                <w:sz w:val="16"/>
                <w:szCs w:val="16"/>
              </w:rPr>
            </w:pPr>
            <w:r w:rsidRPr="000A62B6">
              <w:rPr>
                <w:sz w:val="16"/>
                <w:szCs w:val="16"/>
              </w:rPr>
              <w:t>CM210 Paper</w:t>
            </w:r>
          </w:p>
        </w:tc>
        <w:tc>
          <w:tcPr>
            <w:tcW w:w="923" w:type="dxa"/>
          </w:tcPr>
          <w:p w14:paraId="396FB4D0"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Rubric</w:t>
            </w:r>
          </w:p>
        </w:tc>
        <w:tc>
          <w:tcPr>
            <w:tcW w:w="504" w:type="dxa"/>
          </w:tcPr>
          <w:p w14:paraId="0D786223" w14:textId="77777777" w:rsidR="000A62B6" w:rsidRPr="000A62B6" w:rsidRDefault="000A62B6" w:rsidP="000A62B6">
            <w:pPr>
              <w:jc w:val="center"/>
              <w:rPr>
                <w:rFonts w:asciiTheme="minorHAnsi" w:hAnsiTheme="minorHAnsi" w:cstheme="minorHAnsi"/>
                <w:sz w:val="16"/>
                <w:szCs w:val="16"/>
              </w:rPr>
            </w:pPr>
          </w:p>
        </w:tc>
        <w:tc>
          <w:tcPr>
            <w:tcW w:w="504" w:type="dxa"/>
          </w:tcPr>
          <w:p w14:paraId="5E5992A2" w14:textId="77777777" w:rsidR="000A62B6" w:rsidRPr="000A62B6" w:rsidRDefault="000A62B6" w:rsidP="000A62B6">
            <w:pPr>
              <w:jc w:val="center"/>
              <w:rPr>
                <w:rFonts w:asciiTheme="minorHAnsi" w:hAnsiTheme="minorHAnsi" w:cstheme="minorHAnsi"/>
                <w:sz w:val="16"/>
                <w:szCs w:val="16"/>
              </w:rPr>
            </w:pPr>
          </w:p>
        </w:tc>
        <w:tc>
          <w:tcPr>
            <w:tcW w:w="504" w:type="dxa"/>
          </w:tcPr>
          <w:p w14:paraId="2D5B3A5A" w14:textId="77777777" w:rsidR="000A62B6" w:rsidRPr="000A62B6" w:rsidRDefault="000A62B6" w:rsidP="000A62B6">
            <w:pPr>
              <w:jc w:val="center"/>
              <w:rPr>
                <w:rFonts w:asciiTheme="minorHAnsi" w:hAnsiTheme="minorHAnsi" w:cstheme="minorHAnsi"/>
                <w:sz w:val="16"/>
                <w:szCs w:val="16"/>
              </w:rPr>
            </w:pPr>
          </w:p>
        </w:tc>
        <w:tc>
          <w:tcPr>
            <w:tcW w:w="504" w:type="dxa"/>
          </w:tcPr>
          <w:p w14:paraId="1FDA5EF2" w14:textId="77777777" w:rsidR="000A62B6" w:rsidRPr="000A62B6" w:rsidRDefault="000A62B6" w:rsidP="000A62B6">
            <w:pPr>
              <w:jc w:val="center"/>
              <w:rPr>
                <w:rFonts w:asciiTheme="minorHAnsi" w:hAnsiTheme="minorHAnsi" w:cstheme="minorHAnsi"/>
                <w:sz w:val="16"/>
                <w:szCs w:val="16"/>
              </w:rPr>
            </w:pPr>
          </w:p>
        </w:tc>
        <w:tc>
          <w:tcPr>
            <w:tcW w:w="504" w:type="dxa"/>
          </w:tcPr>
          <w:p w14:paraId="177931FF" w14:textId="77777777" w:rsidR="000A62B6" w:rsidRPr="000A62B6" w:rsidRDefault="000A62B6" w:rsidP="000A62B6">
            <w:pPr>
              <w:jc w:val="center"/>
              <w:rPr>
                <w:rFonts w:asciiTheme="minorHAnsi" w:hAnsiTheme="minorHAnsi" w:cstheme="minorHAnsi"/>
                <w:sz w:val="16"/>
                <w:szCs w:val="16"/>
              </w:rPr>
            </w:pPr>
          </w:p>
        </w:tc>
        <w:tc>
          <w:tcPr>
            <w:tcW w:w="504" w:type="dxa"/>
          </w:tcPr>
          <w:p w14:paraId="1F7FD370" w14:textId="77777777" w:rsidR="000A62B6" w:rsidRPr="000A62B6" w:rsidRDefault="000A62B6" w:rsidP="000A62B6">
            <w:pPr>
              <w:jc w:val="center"/>
              <w:rPr>
                <w:rFonts w:asciiTheme="minorHAnsi" w:hAnsiTheme="minorHAnsi" w:cstheme="minorHAnsi"/>
                <w:sz w:val="16"/>
                <w:szCs w:val="16"/>
              </w:rPr>
            </w:pPr>
          </w:p>
        </w:tc>
        <w:tc>
          <w:tcPr>
            <w:tcW w:w="504" w:type="dxa"/>
          </w:tcPr>
          <w:p w14:paraId="05DF3453" w14:textId="77777777" w:rsidR="000A62B6" w:rsidRPr="000A62B6" w:rsidRDefault="000A62B6" w:rsidP="000A62B6">
            <w:pPr>
              <w:jc w:val="center"/>
              <w:rPr>
                <w:rFonts w:asciiTheme="minorHAnsi" w:hAnsiTheme="minorHAnsi" w:cstheme="minorHAnsi"/>
                <w:sz w:val="16"/>
                <w:szCs w:val="16"/>
              </w:rPr>
            </w:pPr>
          </w:p>
        </w:tc>
        <w:tc>
          <w:tcPr>
            <w:tcW w:w="504" w:type="dxa"/>
          </w:tcPr>
          <w:p w14:paraId="5EE71650" w14:textId="77777777" w:rsidR="000A62B6" w:rsidRPr="000A62B6" w:rsidRDefault="000A62B6" w:rsidP="000A62B6">
            <w:pPr>
              <w:jc w:val="center"/>
              <w:rPr>
                <w:rFonts w:asciiTheme="minorHAnsi" w:hAnsiTheme="minorHAnsi" w:cstheme="minorHAnsi"/>
                <w:sz w:val="16"/>
                <w:szCs w:val="16"/>
              </w:rPr>
            </w:pPr>
            <w:r>
              <w:rPr>
                <w:rFonts w:asciiTheme="minorHAnsi" w:hAnsiTheme="minorHAnsi" w:cstheme="minorHAnsi"/>
                <w:sz w:val="16"/>
                <w:szCs w:val="16"/>
              </w:rPr>
              <w:t>X</w:t>
            </w:r>
          </w:p>
        </w:tc>
      </w:tr>
      <w:tr w:rsidR="000A62B6" w14:paraId="60D31462" w14:textId="77777777" w:rsidTr="000A62B6">
        <w:tc>
          <w:tcPr>
            <w:tcW w:w="1051" w:type="dxa"/>
          </w:tcPr>
          <w:p w14:paraId="2DE379DB" w14:textId="77777777" w:rsidR="000A62B6" w:rsidRPr="000A62B6" w:rsidRDefault="000A62B6" w:rsidP="000A62B6">
            <w:pPr>
              <w:rPr>
                <w:sz w:val="16"/>
                <w:szCs w:val="16"/>
              </w:rPr>
            </w:pPr>
            <w:r w:rsidRPr="000A62B6">
              <w:rPr>
                <w:sz w:val="16"/>
                <w:szCs w:val="16"/>
              </w:rPr>
              <w:t>Exit Survey</w:t>
            </w:r>
          </w:p>
        </w:tc>
        <w:tc>
          <w:tcPr>
            <w:tcW w:w="923" w:type="dxa"/>
          </w:tcPr>
          <w:p w14:paraId="0AC6917E"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Score</w:t>
            </w:r>
          </w:p>
        </w:tc>
        <w:tc>
          <w:tcPr>
            <w:tcW w:w="504" w:type="dxa"/>
          </w:tcPr>
          <w:p w14:paraId="7EC83475"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61917AB7"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251DB565"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7FC4A147"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356C2CD6"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1200D3F4"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44CFF2AF" w14:textId="77777777" w:rsidR="000A62B6" w:rsidRPr="000A62B6" w:rsidRDefault="000A62B6" w:rsidP="000A62B6">
            <w:pPr>
              <w:jc w:val="center"/>
              <w:rPr>
                <w:rFonts w:asciiTheme="minorHAnsi" w:hAnsiTheme="minorHAnsi" w:cstheme="minorHAnsi"/>
                <w:sz w:val="16"/>
                <w:szCs w:val="16"/>
              </w:rPr>
            </w:pPr>
            <w:r w:rsidRPr="000A62B6">
              <w:rPr>
                <w:rFonts w:asciiTheme="minorHAnsi" w:hAnsiTheme="minorHAnsi" w:cstheme="minorHAnsi"/>
                <w:sz w:val="16"/>
                <w:szCs w:val="16"/>
              </w:rPr>
              <w:t>X</w:t>
            </w:r>
          </w:p>
        </w:tc>
        <w:tc>
          <w:tcPr>
            <w:tcW w:w="504" w:type="dxa"/>
          </w:tcPr>
          <w:p w14:paraId="789E0281" w14:textId="77777777" w:rsidR="000A62B6" w:rsidRPr="000A62B6" w:rsidRDefault="000A62B6" w:rsidP="000A62B6">
            <w:pPr>
              <w:jc w:val="center"/>
              <w:rPr>
                <w:rFonts w:asciiTheme="minorHAnsi" w:hAnsiTheme="minorHAnsi" w:cstheme="minorHAnsi"/>
                <w:sz w:val="16"/>
                <w:szCs w:val="16"/>
              </w:rPr>
            </w:pPr>
            <w:r>
              <w:rPr>
                <w:rFonts w:asciiTheme="minorHAnsi" w:hAnsiTheme="minorHAnsi" w:cstheme="minorHAnsi"/>
                <w:sz w:val="16"/>
                <w:szCs w:val="16"/>
              </w:rPr>
              <w:t>X</w:t>
            </w:r>
          </w:p>
        </w:tc>
      </w:tr>
    </w:tbl>
    <w:p w14:paraId="1CC1E7D1" w14:textId="77777777" w:rsidR="00706781" w:rsidRDefault="00706781">
      <w:pPr>
        <w:spacing w:after="0"/>
      </w:pPr>
    </w:p>
    <w:p w14:paraId="55E70C33" w14:textId="77777777" w:rsidR="00706781" w:rsidRDefault="00000000">
      <w:pPr>
        <w:pStyle w:val="Heading2"/>
        <w:numPr>
          <w:ilvl w:val="0"/>
          <w:numId w:val="2"/>
        </w:numPr>
      </w:pPr>
      <w:r>
        <w:t>Assessment Measures: Description of Assignment and Method (rubric, criteria, etc.) used to evaluate the assignment [f]</w:t>
      </w:r>
    </w:p>
    <w:p w14:paraId="1BCBE11D" w14:textId="77777777" w:rsidR="00706781" w:rsidRDefault="00000000">
      <w:r>
        <w:t>The CM department will use the following direct and indirect measures for PLO assessment:</w:t>
      </w:r>
    </w:p>
    <w:p w14:paraId="7787CE2E" w14:textId="77777777" w:rsidR="00706781" w:rsidRDefault="00000000">
      <w:pPr>
        <w:numPr>
          <w:ilvl w:val="1"/>
          <w:numId w:val="2"/>
        </w:numPr>
        <w:pBdr>
          <w:top w:val="nil"/>
          <w:left w:val="nil"/>
          <w:bottom w:val="nil"/>
          <w:right w:val="nil"/>
          <w:between w:val="nil"/>
        </w:pBdr>
        <w:spacing w:after="0"/>
      </w:pPr>
      <w:r>
        <w:rPr>
          <w:rFonts w:cs="Calibri"/>
          <w:color w:val="000000"/>
        </w:rPr>
        <w:t xml:space="preserve">Direct Measures </w:t>
      </w:r>
    </w:p>
    <w:p w14:paraId="2FFDA0D7" w14:textId="77777777" w:rsidR="00706781" w:rsidRDefault="00000000">
      <w:pPr>
        <w:pBdr>
          <w:top w:val="nil"/>
          <w:left w:val="nil"/>
          <w:bottom w:val="nil"/>
          <w:right w:val="nil"/>
          <w:between w:val="nil"/>
        </w:pBdr>
        <w:spacing w:after="0"/>
        <w:ind w:left="720"/>
        <w:rPr>
          <w:rFonts w:cs="Calibri"/>
          <w:color w:val="000000"/>
        </w:rPr>
      </w:pPr>
      <w:r>
        <w:rPr>
          <w:rFonts w:cs="Calibri"/>
          <w:color w:val="000000"/>
        </w:rPr>
        <w:t xml:space="preserve">1. </w:t>
      </w:r>
      <w:r>
        <w:t>Various course projects in CM220 and CM230</w:t>
      </w:r>
      <w:r>
        <w:rPr>
          <w:rFonts w:cs="Calibri"/>
          <w:color w:val="000000"/>
        </w:rPr>
        <w:t xml:space="preserve"> </w:t>
      </w:r>
    </w:p>
    <w:p w14:paraId="301021C3" w14:textId="77777777" w:rsidR="00706781" w:rsidRDefault="00000000">
      <w:pPr>
        <w:pBdr>
          <w:top w:val="nil"/>
          <w:left w:val="nil"/>
          <w:bottom w:val="nil"/>
          <w:right w:val="nil"/>
          <w:between w:val="nil"/>
        </w:pBdr>
        <w:spacing w:after="0"/>
        <w:ind w:left="720"/>
      </w:pPr>
      <w:r>
        <w:t>2. Case study in CM230</w:t>
      </w:r>
    </w:p>
    <w:p w14:paraId="75EBFE84" w14:textId="77777777" w:rsidR="00706781" w:rsidRDefault="00000000">
      <w:pPr>
        <w:pBdr>
          <w:top w:val="nil"/>
          <w:left w:val="nil"/>
          <w:bottom w:val="nil"/>
          <w:right w:val="nil"/>
          <w:between w:val="nil"/>
        </w:pBdr>
        <w:spacing w:after="0"/>
        <w:ind w:left="720"/>
      </w:pPr>
      <w:r>
        <w:t xml:space="preserve">3. Paper in CM240 and CM210 </w:t>
      </w:r>
    </w:p>
    <w:p w14:paraId="7990157F" w14:textId="77777777" w:rsidR="00706781" w:rsidRDefault="00000000">
      <w:pPr>
        <w:pBdr>
          <w:top w:val="nil"/>
          <w:left w:val="nil"/>
          <w:bottom w:val="nil"/>
          <w:right w:val="nil"/>
          <w:between w:val="nil"/>
        </w:pBdr>
        <w:spacing w:after="0"/>
        <w:ind w:left="720"/>
      </w:pPr>
      <w:r>
        <w:t>4. Quiz in CM240</w:t>
      </w:r>
    </w:p>
    <w:p w14:paraId="2795999B" w14:textId="77777777" w:rsidR="00706781" w:rsidRDefault="00000000">
      <w:pPr>
        <w:pBdr>
          <w:top w:val="nil"/>
          <w:left w:val="nil"/>
          <w:bottom w:val="nil"/>
          <w:right w:val="nil"/>
          <w:between w:val="nil"/>
        </w:pBdr>
        <w:spacing w:after="0"/>
        <w:ind w:left="720"/>
        <w:rPr>
          <w:rFonts w:cs="Calibri"/>
          <w:color w:val="000000"/>
        </w:rPr>
      </w:pPr>
      <w:r>
        <w:t>5. Presentation in CM240</w:t>
      </w:r>
    </w:p>
    <w:p w14:paraId="31329B83" w14:textId="77777777" w:rsidR="00706781" w:rsidRDefault="00000000">
      <w:pPr>
        <w:numPr>
          <w:ilvl w:val="1"/>
          <w:numId w:val="2"/>
        </w:numPr>
        <w:pBdr>
          <w:top w:val="nil"/>
          <w:left w:val="nil"/>
          <w:bottom w:val="nil"/>
          <w:right w:val="nil"/>
          <w:between w:val="nil"/>
        </w:pBdr>
        <w:spacing w:after="0"/>
      </w:pPr>
      <w:r>
        <w:rPr>
          <w:rFonts w:cs="Calibri"/>
          <w:color w:val="000000"/>
        </w:rPr>
        <w:t xml:space="preserve">Indirect Measures </w:t>
      </w:r>
    </w:p>
    <w:p w14:paraId="7D84C003" w14:textId="77777777" w:rsidR="00706781" w:rsidRDefault="00000000" w:rsidP="0090314C">
      <w:pPr>
        <w:pBdr>
          <w:top w:val="nil"/>
          <w:left w:val="nil"/>
          <w:bottom w:val="nil"/>
          <w:right w:val="nil"/>
          <w:between w:val="nil"/>
        </w:pBdr>
        <w:spacing w:after="0"/>
        <w:ind w:left="720"/>
      </w:pPr>
      <w:r>
        <w:t>1</w:t>
      </w:r>
      <w:r>
        <w:rPr>
          <w:rFonts w:cs="Calibri"/>
          <w:color w:val="000000"/>
        </w:rPr>
        <w:t xml:space="preserve">. MSCM graduate exit survey (summative) - to be administered </w:t>
      </w:r>
      <w:r>
        <w:t>4</w:t>
      </w:r>
      <w:r>
        <w:rPr>
          <w:rFonts w:cs="Calibri"/>
          <w:color w:val="000000"/>
        </w:rPr>
        <w:t xml:space="preserve"> years after the launch o</w:t>
      </w:r>
      <w:r>
        <w:t>f the program.</w:t>
      </w:r>
    </w:p>
    <w:p w14:paraId="68C7219B" w14:textId="77777777" w:rsidR="0090314C" w:rsidRDefault="00000000" w:rsidP="0090314C">
      <w:pPr>
        <w:pStyle w:val="Heading2"/>
        <w:numPr>
          <w:ilvl w:val="0"/>
          <w:numId w:val="2"/>
        </w:numPr>
      </w:pPr>
      <w:r>
        <w:t>Assessment Schedule/Timeline [g]</w:t>
      </w:r>
    </w:p>
    <w:p w14:paraId="3A613484" w14:textId="77777777" w:rsidR="00706781" w:rsidRPr="0090314C" w:rsidRDefault="00000000" w:rsidP="008B7E00">
      <w:pPr>
        <w:pStyle w:val="Heading2"/>
        <w:numPr>
          <w:ilvl w:val="0"/>
          <w:numId w:val="0"/>
        </w:numPr>
        <w:rPr>
          <w:b w:val="0"/>
          <w:bCs/>
        </w:rPr>
      </w:pPr>
      <w:r w:rsidRPr="0090314C">
        <w:rPr>
          <w:b w:val="0"/>
          <w:bCs/>
        </w:rPr>
        <w:t>Table 3. Assessment Schedule (2023-2031)</w:t>
      </w:r>
    </w:p>
    <w:tbl>
      <w:tblPr>
        <w:tblStyle w:val="a7"/>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60"/>
        <w:gridCol w:w="2060"/>
        <w:gridCol w:w="825"/>
        <w:gridCol w:w="765"/>
        <w:gridCol w:w="750"/>
        <w:gridCol w:w="750"/>
        <w:gridCol w:w="765"/>
        <w:gridCol w:w="795"/>
        <w:gridCol w:w="1485"/>
      </w:tblGrid>
      <w:tr w:rsidR="00706781" w14:paraId="1442D087" w14:textId="77777777" w:rsidTr="007067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9" w:type="dxa"/>
          </w:tcPr>
          <w:p w14:paraId="3E28736F" w14:textId="77777777" w:rsidR="00706781" w:rsidRPr="0090314C" w:rsidRDefault="00000000">
            <w:pPr>
              <w:rPr>
                <w:sz w:val="16"/>
                <w:szCs w:val="16"/>
              </w:rPr>
            </w:pPr>
            <w:r w:rsidRPr="0090314C">
              <w:rPr>
                <w:sz w:val="16"/>
                <w:szCs w:val="16"/>
              </w:rPr>
              <w:t>AY</w:t>
            </w:r>
          </w:p>
        </w:tc>
        <w:tc>
          <w:tcPr>
            <w:tcW w:w="2060" w:type="dxa"/>
          </w:tcPr>
          <w:p w14:paraId="30E14E1B" w14:textId="77777777" w:rsidR="00706781" w:rsidRPr="0090314C" w:rsidRDefault="00000000">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90314C">
              <w:rPr>
                <w:color w:val="000000" w:themeColor="text1"/>
                <w:sz w:val="16"/>
                <w:szCs w:val="16"/>
              </w:rPr>
              <w:t>Measure</w:t>
            </w:r>
          </w:p>
        </w:tc>
        <w:tc>
          <w:tcPr>
            <w:tcW w:w="825" w:type="dxa"/>
          </w:tcPr>
          <w:p w14:paraId="4E7E210C" w14:textId="77777777" w:rsidR="00706781" w:rsidRPr="0090314C" w:rsidRDefault="00000000">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314C">
              <w:rPr>
                <w:sz w:val="16"/>
                <w:szCs w:val="16"/>
              </w:rPr>
              <w:t>SLO 1a</w:t>
            </w:r>
          </w:p>
        </w:tc>
        <w:tc>
          <w:tcPr>
            <w:tcW w:w="765" w:type="dxa"/>
          </w:tcPr>
          <w:p w14:paraId="57C6AEE3" w14:textId="77777777" w:rsidR="00706781" w:rsidRPr="0090314C" w:rsidRDefault="00000000">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314C">
              <w:rPr>
                <w:sz w:val="16"/>
                <w:szCs w:val="16"/>
              </w:rPr>
              <w:t>SLO 2a</w:t>
            </w:r>
          </w:p>
        </w:tc>
        <w:tc>
          <w:tcPr>
            <w:tcW w:w="750" w:type="dxa"/>
          </w:tcPr>
          <w:p w14:paraId="7C301905" w14:textId="77777777" w:rsidR="00706781" w:rsidRPr="0090314C" w:rsidRDefault="00000000">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314C">
              <w:rPr>
                <w:sz w:val="16"/>
                <w:szCs w:val="16"/>
              </w:rPr>
              <w:t>SLO 3a</w:t>
            </w:r>
          </w:p>
        </w:tc>
        <w:tc>
          <w:tcPr>
            <w:tcW w:w="750" w:type="dxa"/>
          </w:tcPr>
          <w:p w14:paraId="5C3CDDDC" w14:textId="77777777" w:rsidR="00706781" w:rsidRPr="0090314C" w:rsidRDefault="00000000">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314C">
              <w:rPr>
                <w:sz w:val="16"/>
                <w:szCs w:val="16"/>
              </w:rPr>
              <w:t>SLO 4a</w:t>
            </w:r>
          </w:p>
        </w:tc>
        <w:tc>
          <w:tcPr>
            <w:tcW w:w="765" w:type="dxa"/>
          </w:tcPr>
          <w:p w14:paraId="2618234E" w14:textId="77777777" w:rsidR="00706781" w:rsidRPr="0090314C" w:rsidRDefault="00000000">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314C">
              <w:rPr>
                <w:sz w:val="16"/>
                <w:szCs w:val="16"/>
              </w:rPr>
              <w:t>SLO 5a</w:t>
            </w:r>
          </w:p>
        </w:tc>
        <w:tc>
          <w:tcPr>
            <w:tcW w:w="795" w:type="dxa"/>
          </w:tcPr>
          <w:p w14:paraId="070F2DC6" w14:textId="77777777" w:rsidR="00706781" w:rsidRPr="0090314C" w:rsidRDefault="00000000">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314C">
              <w:rPr>
                <w:sz w:val="16"/>
                <w:szCs w:val="16"/>
              </w:rPr>
              <w:t>SLO 6a</w:t>
            </w:r>
          </w:p>
        </w:tc>
        <w:tc>
          <w:tcPr>
            <w:tcW w:w="1485" w:type="dxa"/>
          </w:tcPr>
          <w:p w14:paraId="6C5BAE83" w14:textId="77777777" w:rsidR="00706781" w:rsidRPr="0090314C" w:rsidRDefault="00000000">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314C">
              <w:rPr>
                <w:sz w:val="16"/>
                <w:szCs w:val="16"/>
              </w:rPr>
              <w:t>SLO 7a</w:t>
            </w:r>
          </w:p>
        </w:tc>
      </w:tr>
      <w:tr w:rsidR="00706781" w14:paraId="64DF5FA5" w14:textId="77777777" w:rsidTr="0070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Pr>
          <w:p w14:paraId="6246851C" w14:textId="77777777" w:rsidR="00706781" w:rsidRPr="0090314C" w:rsidRDefault="00000000">
            <w:pPr>
              <w:rPr>
                <w:sz w:val="16"/>
                <w:szCs w:val="16"/>
              </w:rPr>
            </w:pPr>
            <w:r w:rsidRPr="0090314C">
              <w:rPr>
                <w:sz w:val="16"/>
                <w:szCs w:val="16"/>
              </w:rPr>
              <w:t>2023-2024</w:t>
            </w:r>
          </w:p>
        </w:tc>
        <w:tc>
          <w:tcPr>
            <w:tcW w:w="2060" w:type="dxa"/>
          </w:tcPr>
          <w:p w14:paraId="466D7A9C" w14:textId="77777777" w:rsidR="0090314C" w:rsidRPr="0090314C" w:rsidRDefault="0090314C" w:rsidP="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 xml:space="preserve">Quiz (CM240), </w:t>
            </w:r>
          </w:p>
          <w:p w14:paraId="71057AAD" w14:textId="77777777" w:rsidR="0090314C" w:rsidRPr="0090314C" w:rsidRDefault="0090314C" w:rsidP="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 xml:space="preserve">Project (CM230), </w:t>
            </w:r>
          </w:p>
          <w:p w14:paraId="7A402E0A" w14:textId="77777777" w:rsidR="00706781" w:rsidRPr="0090314C" w:rsidRDefault="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Paper (CM210)</w:t>
            </w:r>
          </w:p>
        </w:tc>
        <w:tc>
          <w:tcPr>
            <w:tcW w:w="825" w:type="dxa"/>
          </w:tcPr>
          <w:p w14:paraId="0B3324C1"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65" w:type="dxa"/>
          </w:tcPr>
          <w:p w14:paraId="4415C1FA"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0" w:type="dxa"/>
          </w:tcPr>
          <w:p w14:paraId="11BF60B3"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0" w:type="dxa"/>
          </w:tcPr>
          <w:p w14:paraId="75ED7470"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65" w:type="dxa"/>
          </w:tcPr>
          <w:p w14:paraId="3198DC7B"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795" w:type="dxa"/>
          </w:tcPr>
          <w:p w14:paraId="504F34D2"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485" w:type="dxa"/>
          </w:tcPr>
          <w:p w14:paraId="09AA49D6"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r>
      <w:tr w:rsidR="00706781" w14:paraId="4A5DF813" w14:textId="77777777" w:rsidTr="00706781">
        <w:tc>
          <w:tcPr>
            <w:cnfStyle w:val="001000000000" w:firstRow="0" w:lastRow="0" w:firstColumn="1" w:lastColumn="0" w:oddVBand="0" w:evenVBand="0" w:oddHBand="0" w:evenHBand="0" w:firstRowFirstColumn="0" w:firstRowLastColumn="0" w:lastRowFirstColumn="0" w:lastRowLastColumn="0"/>
            <w:tcW w:w="1059" w:type="dxa"/>
          </w:tcPr>
          <w:p w14:paraId="68653307" w14:textId="77777777" w:rsidR="00706781" w:rsidRPr="0090314C" w:rsidRDefault="00000000">
            <w:pPr>
              <w:rPr>
                <w:sz w:val="16"/>
                <w:szCs w:val="16"/>
              </w:rPr>
            </w:pPr>
            <w:r w:rsidRPr="0090314C">
              <w:rPr>
                <w:sz w:val="16"/>
                <w:szCs w:val="16"/>
              </w:rPr>
              <w:t>2024-2025</w:t>
            </w:r>
          </w:p>
        </w:tc>
        <w:tc>
          <w:tcPr>
            <w:tcW w:w="2060" w:type="dxa"/>
          </w:tcPr>
          <w:p w14:paraId="0D637793" w14:textId="77777777" w:rsidR="00706781" w:rsidRPr="0090314C" w:rsidRDefault="00000000">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Project (CM220), Paper/</w:t>
            </w:r>
            <w:proofErr w:type="gramStart"/>
            <w:r w:rsidRPr="0090314C">
              <w:rPr>
                <w:sz w:val="16"/>
                <w:szCs w:val="16"/>
              </w:rPr>
              <w:t>Pres.(</w:t>
            </w:r>
            <w:proofErr w:type="gramEnd"/>
            <w:r w:rsidRPr="0090314C">
              <w:rPr>
                <w:sz w:val="16"/>
                <w:szCs w:val="16"/>
              </w:rPr>
              <w:t>CM240)</w:t>
            </w:r>
            <w:r w:rsidR="0090314C">
              <w:rPr>
                <w:sz w:val="16"/>
                <w:szCs w:val="16"/>
              </w:rPr>
              <w:t>,</w:t>
            </w:r>
          </w:p>
          <w:p w14:paraId="3BEF08B0" w14:textId="77777777" w:rsidR="00706781" w:rsidRPr="0090314C" w:rsidRDefault="00000000">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Graduate Exit Survey</w:t>
            </w:r>
          </w:p>
        </w:tc>
        <w:tc>
          <w:tcPr>
            <w:tcW w:w="825" w:type="dxa"/>
          </w:tcPr>
          <w:p w14:paraId="5C2D09F3" w14:textId="77777777" w:rsidR="00706781" w:rsidRPr="0090314C" w:rsidRDefault="0090314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65" w:type="dxa"/>
          </w:tcPr>
          <w:p w14:paraId="46E38A17" w14:textId="77777777" w:rsidR="00706781" w:rsidRPr="0090314C" w:rsidRDefault="0090314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50" w:type="dxa"/>
          </w:tcPr>
          <w:p w14:paraId="223573E4"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50" w:type="dxa"/>
          </w:tcPr>
          <w:p w14:paraId="77ABBC01"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65" w:type="dxa"/>
          </w:tcPr>
          <w:p w14:paraId="12586BD3"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95" w:type="dxa"/>
          </w:tcPr>
          <w:p w14:paraId="652D420F"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485" w:type="dxa"/>
          </w:tcPr>
          <w:p w14:paraId="144C336F"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706781" w14:paraId="07F86A24" w14:textId="77777777" w:rsidTr="0070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Pr>
          <w:p w14:paraId="1202C713" w14:textId="77777777" w:rsidR="00706781" w:rsidRPr="0090314C" w:rsidRDefault="00000000">
            <w:pPr>
              <w:rPr>
                <w:sz w:val="16"/>
                <w:szCs w:val="16"/>
              </w:rPr>
            </w:pPr>
            <w:r w:rsidRPr="0090314C">
              <w:rPr>
                <w:sz w:val="16"/>
                <w:szCs w:val="16"/>
              </w:rPr>
              <w:t>2025-2026</w:t>
            </w:r>
          </w:p>
        </w:tc>
        <w:tc>
          <w:tcPr>
            <w:tcW w:w="2060" w:type="dxa"/>
          </w:tcPr>
          <w:p w14:paraId="0F9BD309" w14:textId="77777777" w:rsidR="0090314C" w:rsidRPr="0090314C" w:rsidRDefault="00000000">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Project (CM220</w:t>
            </w:r>
            <w:r w:rsidR="0090314C" w:rsidRPr="0090314C">
              <w:rPr>
                <w:sz w:val="16"/>
                <w:szCs w:val="16"/>
              </w:rPr>
              <w:t>)</w:t>
            </w:r>
            <w:r w:rsidR="0090314C">
              <w:rPr>
                <w:sz w:val="16"/>
                <w:szCs w:val="16"/>
              </w:rPr>
              <w:t>,</w:t>
            </w:r>
            <w:r w:rsidRPr="0090314C">
              <w:rPr>
                <w:sz w:val="16"/>
                <w:szCs w:val="16"/>
              </w:rPr>
              <w:t xml:space="preserve"> </w:t>
            </w:r>
          </w:p>
          <w:p w14:paraId="67FBBD69" w14:textId="77777777" w:rsidR="00706781" w:rsidRPr="0090314C" w:rsidRDefault="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Case Study (CM 230)</w:t>
            </w:r>
            <w:r>
              <w:rPr>
                <w:sz w:val="16"/>
                <w:szCs w:val="16"/>
              </w:rPr>
              <w:t>,</w:t>
            </w:r>
          </w:p>
          <w:p w14:paraId="3F9E4760" w14:textId="77777777" w:rsidR="00706781" w:rsidRPr="0090314C" w:rsidRDefault="00000000">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Graduate Exit Survey</w:t>
            </w:r>
          </w:p>
        </w:tc>
        <w:tc>
          <w:tcPr>
            <w:tcW w:w="825" w:type="dxa"/>
          </w:tcPr>
          <w:p w14:paraId="36250CBC"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65" w:type="dxa"/>
          </w:tcPr>
          <w:p w14:paraId="4666607D"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0" w:type="dxa"/>
          </w:tcPr>
          <w:p w14:paraId="60906D3B"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750" w:type="dxa"/>
          </w:tcPr>
          <w:p w14:paraId="1FBB57C3"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765" w:type="dxa"/>
          </w:tcPr>
          <w:p w14:paraId="712299D2"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95" w:type="dxa"/>
          </w:tcPr>
          <w:p w14:paraId="57740027"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485" w:type="dxa"/>
          </w:tcPr>
          <w:p w14:paraId="1836C38B"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706781" w14:paraId="4190A5AE" w14:textId="77777777" w:rsidTr="00706781">
        <w:tc>
          <w:tcPr>
            <w:cnfStyle w:val="001000000000" w:firstRow="0" w:lastRow="0" w:firstColumn="1" w:lastColumn="0" w:oddVBand="0" w:evenVBand="0" w:oddHBand="0" w:evenHBand="0" w:firstRowFirstColumn="0" w:firstRowLastColumn="0" w:lastRowFirstColumn="0" w:lastRowLastColumn="0"/>
            <w:tcW w:w="1059" w:type="dxa"/>
          </w:tcPr>
          <w:p w14:paraId="600C94DC" w14:textId="77777777" w:rsidR="00706781" w:rsidRPr="0090314C" w:rsidRDefault="00000000">
            <w:pPr>
              <w:rPr>
                <w:sz w:val="16"/>
                <w:szCs w:val="16"/>
              </w:rPr>
            </w:pPr>
            <w:r w:rsidRPr="0090314C">
              <w:rPr>
                <w:sz w:val="16"/>
                <w:szCs w:val="16"/>
              </w:rPr>
              <w:t>2026-2027</w:t>
            </w:r>
          </w:p>
        </w:tc>
        <w:tc>
          <w:tcPr>
            <w:tcW w:w="2060" w:type="dxa"/>
          </w:tcPr>
          <w:p w14:paraId="5DB79516" w14:textId="77777777" w:rsidR="0090314C" w:rsidRPr="0090314C" w:rsidRDefault="0090314C">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 xml:space="preserve">Quiz (CM240), </w:t>
            </w:r>
          </w:p>
          <w:p w14:paraId="66DF4CAC" w14:textId="77777777" w:rsidR="0090314C" w:rsidRPr="0090314C" w:rsidRDefault="0090314C">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 xml:space="preserve">Project (CM230), </w:t>
            </w:r>
          </w:p>
          <w:p w14:paraId="1F8D60F7" w14:textId="77777777" w:rsidR="00706781" w:rsidRPr="0090314C" w:rsidRDefault="0090314C">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Paper (CM210)</w:t>
            </w:r>
            <w:r>
              <w:rPr>
                <w:sz w:val="16"/>
                <w:szCs w:val="16"/>
              </w:rPr>
              <w:t>,</w:t>
            </w:r>
          </w:p>
          <w:p w14:paraId="0DCDAE96" w14:textId="77777777" w:rsidR="00706781" w:rsidRPr="0090314C" w:rsidRDefault="00000000">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Graduate Exit Survey</w:t>
            </w:r>
          </w:p>
        </w:tc>
        <w:tc>
          <w:tcPr>
            <w:tcW w:w="825" w:type="dxa"/>
          </w:tcPr>
          <w:p w14:paraId="26AF7594"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65" w:type="dxa"/>
          </w:tcPr>
          <w:p w14:paraId="343E7460"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50" w:type="dxa"/>
          </w:tcPr>
          <w:p w14:paraId="5B0356E6"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50" w:type="dxa"/>
          </w:tcPr>
          <w:p w14:paraId="2A298F18"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65" w:type="dxa"/>
          </w:tcPr>
          <w:p w14:paraId="176367E2" w14:textId="77777777" w:rsidR="00706781" w:rsidRPr="0090314C" w:rsidRDefault="0090314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95" w:type="dxa"/>
          </w:tcPr>
          <w:p w14:paraId="5B950C9C" w14:textId="77777777" w:rsidR="00706781" w:rsidRPr="0090314C" w:rsidRDefault="0090314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485" w:type="dxa"/>
          </w:tcPr>
          <w:p w14:paraId="0011AFC4" w14:textId="77777777" w:rsidR="00706781" w:rsidRPr="0090314C" w:rsidRDefault="0090314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r>
      <w:tr w:rsidR="00706781" w14:paraId="61BFBCAB" w14:textId="77777777" w:rsidTr="0070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Pr>
          <w:p w14:paraId="6530D5E2" w14:textId="77777777" w:rsidR="00706781" w:rsidRPr="0090314C" w:rsidRDefault="00000000">
            <w:pPr>
              <w:rPr>
                <w:sz w:val="16"/>
                <w:szCs w:val="16"/>
              </w:rPr>
            </w:pPr>
            <w:r w:rsidRPr="0090314C">
              <w:rPr>
                <w:sz w:val="16"/>
                <w:szCs w:val="16"/>
              </w:rPr>
              <w:t>2027-2028</w:t>
            </w:r>
          </w:p>
        </w:tc>
        <w:tc>
          <w:tcPr>
            <w:tcW w:w="2060" w:type="dxa"/>
          </w:tcPr>
          <w:p w14:paraId="1D8A2621" w14:textId="77777777" w:rsidR="0090314C" w:rsidRPr="0090314C" w:rsidRDefault="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 xml:space="preserve">Project (CM220), </w:t>
            </w:r>
          </w:p>
          <w:p w14:paraId="57E59076" w14:textId="77777777" w:rsidR="00706781" w:rsidRPr="0090314C" w:rsidRDefault="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Paper/Pres. (CM240)</w:t>
            </w:r>
            <w:r>
              <w:rPr>
                <w:sz w:val="16"/>
                <w:szCs w:val="16"/>
              </w:rPr>
              <w:t>,</w:t>
            </w:r>
          </w:p>
          <w:p w14:paraId="1CE3DBDB" w14:textId="77777777" w:rsidR="00706781" w:rsidRPr="0090314C" w:rsidRDefault="00000000">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Graduate Exit Survey</w:t>
            </w:r>
          </w:p>
        </w:tc>
        <w:tc>
          <w:tcPr>
            <w:tcW w:w="825" w:type="dxa"/>
          </w:tcPr>
          <w:p w14:paraId="6C7623FE"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765" w:type="dxa"/>
          </w:tcPr>
          <w:p w14:paraId="0B4FB366"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750" w:type="dxa"/>
          </w:tcPr>
          <w:p w14:paraId="0BA207BB"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0" w:type="dxa"/>
          </w:tcPr>
          <w:p w14:paraId="620F42D6"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65" w:type="dxa"/>
          </w:tcPr>
          <w:p w14:paraId="7E83E487"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95" w:type="dxa"/>
          </w:tcPr>
          <w:p w14:paraId="24E3189D"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485" w:type="dxa"/>
          </w:tcPr>
          <w:p w14:paraId="37340565"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706781" w14:paraId="3667873A" w14:textId="77777777" w:rsidTr="00706781">
        <w:tc>
          <w:tcPr>
            <w:cnfStyle w:val="001000000000" w:firstRow="0" w:lastRow="0" w:firstColumn="1" w:lastColumn="0" w:oddVBand="0" w:evenVBand="0" w:oddHBand="0" w:evenHBand="0" w:firstRowFirstColumn="0" w:firstRowLastColumn="0" w:lastRowFirstColumn="0" w:lastRowLastColumn="0"/>
            <w:tcW w:w="1059" w:type="dxa"/>
          </w:tcPr>
          <w:p w14:paraId="13B5E92E" w14:textId="77777777" w:rsidR="00706781" w:rsidRPr="0090314C" w:rsidRDefault="00000000">
            <w:pPr>
              <w:rPr>
                <w:sz w:val="16"/>
                <w:szCs w:val="16"/>
              </w:rPr>
            </w:pPr>
            <w:r w:rsidRPr="0090314C">
              <w:rPr>
                <w:sz w:val="16"/>
                <w:szCs w:val="16"/>
              </w:rPr>
              <w:t>2028-2029</w:t>
            </w:r>
          </w:p>
        </w:tc>
        <w:tc>
          <w:tcPr>
            <w:tcW w:w="2060" w:type="dxa"/>
          </w:tcPr>
          <w:p w14:paraId="44BF4342" w14:textId="77777777" w:rsidR="0090314C" w:rsidRPr="0090314C" w:rsidRDefault="0090314C">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 xml:space="preserve">Project (CM220), </w:t>
            </w:r>
          </w:p>
          <w:p w14:paraId="788401A1" w14:textId="77777777" w:rsidR="00706781" w:rsidRPr="0090314C" w:rsidRDefault="0090314C">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Case Study (CM230)</w:t>
            </w:r>
            <w:r>
              <w:rPr>
                <w:sz w:val="16"/>
                <w:szCs w:val="16"/>
              </w:rPr>
              <w:t>,</w:t>
            </w:r>
          </w:p>
          <w:p w14:paraId="7B3F88B4" w14:textId="77777777" w:rsidR="00706781" w:rsidRPr="0090314C" w:rsidRDefault="00000000">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Graduate Exit Survey</w:t>
            </w:r>
          </w:p>
        </w:tc>
        <w:tc>
          <w:tcPr>
            <w:tcW w:w="825" w:type="dxa"/>
          </w:tcPr>
          <w:p w14:paraId="4F6C4E1C"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65" w:type="dxa"/>
          </w:tcPr>
          <w:p w14:paraId="08FD7798"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50" w:type="dxa"/>
          </w:tcPr>
          <w:p w14:paraId="7EE1B983" w14:textId="77777777" w:rsidR="00706781" w:rsidRPr="0090314C" w:rsidRDefault="0090314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50" w:type="dxa"/>
          </w:tcPr>
          <w:p w14:paraId="3496D8BE" w14:textId="77777777" w:rsidR="00706781" w:rsidRPr="0090314C" w:rsidRDefault="0090314C">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65" w:type="dxa"/>
          </w:tcPr>
          <w:p w14:paraId="1A05B822"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95" w:type="dxa"/>
          </w:tcPr>
          <w:p w14:paraId="6875B249"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485" w:type="dxa"/>
          </w:tcPr>
          <w:p w14:paraId="064594BB"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706781" w14:paraId="07ED9ABB" w14:textId="77777777" w:rsidTr="0070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Pr>
          <w:p w14:paraId="3CBB85E0" w14:textId="77777777" w:rsidR="00706781" w:rsidRPr="0090314C" w:rsidRDefault="00000000">
            <w:pPr>
              <w:rPr>
                <w:sz w:val="16"/>
                <w:szCs w:val="16"/>
              </w:rPr>
            </w:pPr>
            <w:r w:rsidRPr="0090314C">
              <w:rPr>
                <w:sz w:val="16"/>
                <w:szCs w:val="16"/>
              </w:rPr>
              <w:t>2029-2030</w:t>
            </w:r>
          </w:p>
        </w:tc>
        <w:tc>
          <w:tcPr>
            <w:tcW w:w="2060" w:type="dxa"/>
          </w:tcPr>
          <w:p w14:paraId="010BB8FF" w14:textId="77777777" w:rsidR="0090314C" w:rsidRPr="0090314C" w:rsidRDefault="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 xml:space="preserve">Quiz (CM240), </w:t>
            </w:r>
          </w:p>
          <w:p w14:paraId="39C4C137" w14:textId="77777777" w:rsidR="0090314C" w:rsidRPr="0090314C" w:rsidRDefault="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 xml:space="preserve">Project (CM230), </w:t>
            </w:r>
          </w:p>
          <w:p w14:paraId="4C3525C2" w14:textId="77777777" w:rsidR="00706781" w:rsidRPr="0090314C" w:rsidRDefault="0090314C">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Paper (CM210)</w:t>
            </w:r>
            <w:r>
              <w:rPr>
                <w:sz w:val="16"/>
                <w:szCs w:val="16"/>
              </w:rPr>
              <w:t>,</w:t>
            </w:r>
          </w:p>
          <w:p w14:paraId="2DF6736C" w14:textId="77777777" w:rsidR="00706781" w:rsidRPr="0090314C" w:rsidRDefault="00000000">
            <w:pPr>
              <w:cnfStyle w:val="000000100000" w:firstRow="0" w:lastRow="0" w:firstColumn="0" w:lastColumn="0" w:oddVBand="0" w:evenVBand="0" w:oddHBand="1" w:evenHBand="0" w:firstRowFirstColumn="0" w:firstRowLastColumn="0" w:lastRowFirstColumn="0" w:lastRowLastColumn="0"/>
              <w:rPr>
                <w:sz w:val="16"/>
                <w:szCs w:val="16"/>
              </w:rPr>
            </w:pPr>
            <w:r w:rsidRPr="0090314C">
              <w:rPr>
                <w:sz w:val="16"/>
                <w:szCs w:val="16"/>
              </w:rPr>
              <w:t>Graduate Exit Survey</w:t>
            </w:r>
          </w:p>
        </w:tc>
        <w:tc>
          <w:tcPr>
            <w:tcW w:w="825" w:type="dxa"/>
          </w:tcPr>
          <w:p w14:paraId="62B6B7F2"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65" w:type="dxa"/>
          </w:tcPr>
          <w:p w14:paraId="16BBA438"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0" w:type="dxa"/>
          </w:tcPr>
          <w:p w14:paraId="3797C200"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0" w:type="dxa"/>
          </w:tcPr>
          <w:p w14:paraId="53FA42AE" w14:textId="77777777" w:rsidR="00706781" w:rsidRPr="0090314C" w:rsidRDefault="0070678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65" w:type="dxa"/>
          </w:tcPr>
          <w:p w14:paraId="42DCEE65"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795" w:type="dxa"/>
          </w:tcPr>
          <w:p w14:paraId="30B262B9"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485" w:type="dxa"/>
          </w:tcPr>
          <w:p w14:paraId="4682185E" w14:textId="77777777" w:rsidR="00706781" w:rsidRPr="0090314C" w:rsidRDefault="0090314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r>
      <w:tr w:rsidR="00706781" w14:paraId="31116C8B" w14:textId="77777777" w:rsidTr="00706781">
        <w:tc>
          <w:tcPr>
            <w:cnfStyle w:val="001000000000" w:firstRow="0" w:lastRow="0" w:firstColumn="1" w:lastColumn="0" w:oddVBand="0" w:evenVBand="0" w:oddHBand="0" w:evenHBand="0" w:firstRowFirstColumn="0" w:firstRowLastColumn="0" w:lastRowFirstColumn="0" w:lastRowLastColumn="0"/>
            <w:tcW w:w="1059" w:type="dxa"/>
          </w:tcPr>
          <w:p w14:paraId="41559D79" w14:textId="77777777" w:rsidR="00706781" w:rsidRPr="0090314C" w:rsidRDefault="00000000">
            <w:pPr>
              <w:rPr>
                <w:sz w:val="16"/>
                <w:szCs w:val="16"/>
              </w:rPr>
            </w:pPr>
            <w:r w:rsidRPr="0090314C">
              <w:rPr>
                <w:sz w:val="16"/>
                <w:szCs w:val="16"/>
              </w:rPr>
              <w:lastRenderedPageBreak/>
              <w:t>2030-2031</w:t>
            </w:r>
          </w:p>
        </w:tc>
        <w:tc>
          <w:tcPr>
            <w:tcW w:w="2060" w:type="dxa"/>
          </w:tcPr>
          <w:p w14:paraId="0C8704E0" w14:textId="77777777" w:rsidR="0090314C" w:rsidRPr="0090314C" w:rsidRDefault="0090314C" w:rsidP="0090314C">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Project (CM220), Paper/</w:t>
            </w:r>
            <w:proofErr w:type="gramStart"/>
            <w:r w:rsidRPr="0090314C">
              <w:rPr>
                <w:sz w:val="16"/>
                <w:szCs w:val="16"/>
              </w:rPr>
              <w:t>Pres.(</w:t>
            </w:r>
            <w:proofErr w:type="gramEnd"/>
            <w:r w:rsidRPr="0090314C">
              <w:rPr>
                <w:sz w:val="16"/>
                <w:szCs w:val="16"/>
              </w:rPr>
              <w:t>CM240)</w:t>
            </w:r>
            <w:r>
              <w:rPr>
                <w:sz w:val="16"/>
                <w:szCs w:val="16"/>
              </w:rPr>
              <w:t>,</w:t>
            </w:r>
          </w:p>
          <w:p w14:paraId="32D2B7A7" w14:textId="77777777" w:rsidR="00706781" w:rsidRPr="0090314C" w:rsidRDefault="00000000">
            <w:pPr>
              <w:cnfStyle w:val="000000000000" w:firstRow="0" w:lastRow="0" w:firstColumn="0" w:lastColumn="0" w:oddVBand="0" w:evenVBand="0" w:oddHBand="0" w:evenHBand="0" w:firstRowFirstColumn="0" w:firstRowLastColumn="0" w:lastRowFirstColumn="0" w:lastRowLastColumn="0"/>
              <w:rPr>
                <w:sz w:val="16"/>
                <w:szCs w:val="16"/>
              </w:rPr>
            </w:pPr>
            <w:r w:rsidRPr="0090314C">
              <w:rPr>
                <w:sz w:val="16"/>
                <w:szCs w:val="16"/>
              </w:rPr>
              <w:t>Graduate Exit Survey</w:t>
            </w:r>
          </w:p>
        </w:tc>
        <w:tc>
          <w:tcPr>
            <w:tcW w:w="825" w:type="dxa"/>
          </w:tcPr>
          <w:p w14:paraId="58DC56EF" w14:textId="77777777" w:rsidR="00706781" w:rsidRPr="0090314C" w:rsidRDefault="00B609F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65" w:type="dxa"/>
          </w:tcPr>
          <w:p w14:paraId="180003CA" w14:textId="77777777" w:rsidR="00706781" w:rsidRPr="0090314C" w:rsidRDefault="00B609F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750" w:type="dxa"/>
          </w:tcPr>
          <w:p w14:paraId="539E249D"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50" w:type="dxa"/>
          </w:tcPr>
          <w:p w14:paraId="74EF78C4"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65" w:type="dxa"/>
          </w:tcPr>
          <w:p w14:paraId="21F90053"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95" w:type="dxa"/>
          </w:tcPr>
          <w:p w14:paraId="688E3336"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485" w:type="dxa"/>
          </w:tcPr>
          <w:p w14:paraId="324F8E43" w14:textId="77777777" w:rsidR="00706781" w:rsidRPr="0090314C" w:rsidRDefault="00706781">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047DDFED" w14:textId="77777777" w:rsidR="00706781" w:rsidRDefault="00706781"/>
    <w:tbl>
      <w:tblPr>
        <w:tblStyle w:val="a8"/>
        <w:tblW w:w="931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9314"/>
      </w:tblGrid>
      <w:tr w:rsidR="00706781" w14:paraId="76A18998" w14:textId="77777777">
        <w:tc>
          <w:tcPr>
            <w:tcW w:w="9314" w:type="dxa"/>
            <w:shd w:val="clear" w:color="auto" w:fill="DBE5F1"/>
          </w:tcPr>
          <w:p w14:paraId="6C0428E3" w14:textId="77777777" w:rsidR="00706781" w:rsidRDefault="00000000">
            <w:pPr>
              <w:pStyle w:val="Heading2"/>
              <w:numPr>
                <w:ilvl w:val="0"/>
                <w:numId w:val="2"/>
              </w:numPr>
            </w:pPr>
            <w:r>
              <w:t>Closing the Loop [</w:t>
            </w:r>
            <w:proofErr w:type="spellStart"/>
            <w:proofErr w:type="gramStart"/>
            <w:r>
              <w:t>h,j</w:t>
            </w:r>
            <w:proofErr w:type="gramEnd"/>
            <w:r>
              <w:t>,k</w:t>
            </w:r>
            <w:proofErr w:type="spellEnd"/>
            <w:r>
              <w:t xml:space="preserve">] </w:t>
            </w:r>
          </w:p>
        </w:tc>
      </w:tr>
      <w:tr w:rsidR="00706781" w14:paraId="60DA086F" w14:textId="77777777">
        <w:tc>
          <w:tcPr>
            <w:tcW w:w="9314" w:type="dxa"/>
            <w:shd w:val="clear" w:color="auto" w:fill="244061"/>
          </w:tcPr>
          <w:p w14:paraId="2E28733F" w14:textId="77777777" w:rsidR="00706781" w:rsidRDefault="00000000">
            <w:pPr>
              <w:rPr>
                <w:rFonts w:cs="Calibri"/>
                <w:b/>
                <w:color w:val="FFFFFF"/>
              </w:rPr>
            </w:pPr>
            <w:r>
              <w:rPr>
                <w:rFonts w:cs="Calibri"/>
                <w:b/>
                <w:color w:val="FFFFFF"/>
              </w:rPr>
              <w:t>Fresno State Closing the Loop process is described immediately below.</w:t>
            </w:r>
          </w:p>
        </w:tc>
      </w:tr>
      <w:tr w:rsidR="00706781" w14:paraId="51CD7F78" w14:textId="77777777">
        <w:tc>
          <w:tcPr>
            <w:tcW w:w="9314" w:type="dxa"/>
            <w:shd w:val="clear" w:color="auto" w:fill="DBE5F1"/>
          </w:tcPr>
          <w:p w14:paraId="27826E48" w14:textId="77777777" w:rsidR="00706781" w:rsidRDefault="00000000">
            <w:pPr>
              <w:pStyle w:val="Heading2"/>
              <w:ind w:left="0" w:firstLine="0"/>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706781" w14:paraId="1F1AD042" w14:textId="77777777">
        <w:trPr>
          <w:trHeight w:val="713"/>
        </w:trPr>
        <w:tc>
          <w:tcPr>
            <w:tcW w:w="9314" w:type="dxa"/>
          </w:tcPr>
          <w:p w14:paraId="53A00B17" w14:textId="77777777" w:rsidR="00706781" w:rsidRDefault="00000000">
            <w:pPr>
              <w:rPr>
                <w:rFonts w:cs="Calibri"/>
              </w:rPr>
            </w:pPr>
            <w:r>
              <w:rPr>
                <w:rFonts w:cs="Calibri"/>
              </w:rPr>
              <w:t>Program/Department Closing the Loop process:</w:t>
            </w:r>
          </w:p>
          <w:p w14:paraId="3DD64BCB" w14:textId="77777777" w:rsidR="00706781" w:rsidRDefault="00000000">
            <w:pPr>
              <w:rPr>
                <w:rFonts w:cs="Calibri"/>
              </w:rPr>
            </w:pPr>
            <w:r>
              <w:t xml:space="preserve">Data are collected and analyzed according to the implementation schedule above. This information is then used to write a report, “Summary of Outcome Assessment Results,” for the academic year in which the data are collected. Shortly after the report is compiled, it is presented to and reviewed by the departmental faculty. The findings are discussed and an action plan may be decided upon, as appropriate. If it is decided that an action needs to be taken or a change needs to be made, responsibilities are assigned. The assessment coordinator will follow up on any actions or changes made in the following year and include them in the next annual report. </w:t>
            </w:r>
          </w:p>
          <w:p w14:paraId="61268DCD" w14:textId="77777777" w:rsidR="00706781" w:rsidRDefault="00706781">
            <w:pPr>
              <w:rPr>
                <w:rFonts w:cs="Calibri"/>
              </w:rPr>
            </w:pPr>
          </w:p>
        </w:tc>
      </w:tr>
    </w:tbl>
    <w:p w14:paraId="62B44532" w14:textId="77777777" w:rsidR="00706781" w:rsidRDefault="00706781"/>
    <w:sectPr w:rsidR="0070678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976C" w14:textId="77777777" w:rsidR="0012780E" w:rsidRDefault="0012780E">
      <w:pPr>
        <w:spacing w:after="0" w:line="240" w:lineRule="auto"/>
      </w:pPr>
      <w:r>
        <w:separator/>
      </w:r>
    </w:p>
  </w:endnote>
  <w:endnote w:type="continuationSeparator" w:id="0">
    <w:p w14:paraId="2EEBC0F6" w14:textId="77777777" w:rsidR="0012780E" w:rsidRDefault="0012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52D0" w14:textId="77777777" w:rsidR="00706781" w:rsidRDefault="00000000">
    <w:pPr>
      <w:pBdr>
        <w:top w:val="nil"/>
        <w:left w:val="nil"/>
        <w:bottom w:val="nil"/>
        <w:right w:val="nil"/>
        <w:between w:val="nil"/>
      </w:pBdr>
      <w:tabs>
        <w:tab w:val="center" w:pos="4680"/>
        <w:tab w:val="right" w:pos="9360"/>
      </w:tabs>
      <w:spacing w:after="0" w:line="240" w:lineRule="auto"/>
      <w:jc w:val="center"/>
      <w:rPr>
        <w:rFonts w:cs="Calibri"/>
        <w:color w:val="000000"/>
      </w:rPr>
    </w:pPr>
    <w:r>
      <w:t>9</w:t>
    </w:r>
    <w:r>
      <w:rPr>
        <w:rFonts w:cs="Calibri"/>
        <w:color w:val="000000"/>
      </w:rPr>
      <w:t>/</w:t>
    </w:r>
    <w:r>
      <w:t>30</w:t>
    </w:r>
    <w:r>
      <w:rPr>
        <w:rFonts w:cs="Calibri"/>
        <w:color w:val="000000"/>
      </w:rPr>
      <w:t>/202</w:t>
    </w:r>
    <w:r>
      <w:t>4</w:t>
    </w:r>
    <w:r>
      <w:rPr>
        <w:rFonts w:cs="Calibri"/>
        <w:color w:val="000000"/>
      </w:rPr>
      <w:t xml:space="preserve"> - page </w:t>
    </w:r>
    <w:r>
      <w:rPr>
        <w:rFonts w:cs="Calibri"/>
        <w:color w:val="000000"/>
      </w:rPr>
      <w:fldChar w:fldCharType="begin"/>
    </w:r>
    <w:r>
      <w:rPr>
        <w:rFonts w:cs="Calibri"/>
        <w:color w:val="000000"/>
      </w:rPr>
      <w:instrText>PAGE</w:instrText>
    </w:r>
    <w:r>
      <w:rPr>
        <w:rFonts w:cs="Calibri"/>
        <w:color w:val="000000"/>
      </w:rPr>
      <w:fldChar w:fldCharType="separate"/>
    </w:r>
    <w:r w:rsidR="00B23976">
      <w:rPr>
        <w:rFonts w:cs="Calibri"/>
        <w:noProof/>
        <w:color w:val="000000"/>
      </w:rPr>
      <w:t>1</w:t>
    </w:r>
    <w:r>
      <w:rPr>
        <w:rFonts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3220" w14:textId="77777777" w:rsidR="0012780E" w:rsidRDefault="0012780E">
      <w:pPr>
        <w:spacing w:after="0" w:line="240" w:lineRule="auto"/>
      </w:pPr>
      <w:r>
        <w:separator/>
      </w:r>
    </w:p>
  </w:footnote>
  <w:footnote w:type="continuationSeparator" w:id="0">
    <w:p w14:paraId="0FAC3D87" w14:textId="77777777" w:rsidR="0012780E" w:rsidRDefault="00127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102"/>
    <w:multiLevelType w:val="multilevel"/>
    <w:tmpl w:val="AA46C796"/>
    <w:lvl w:ilvl="0">
      <w:start w:val="1"/>
      <w:numFmt w:val="decimal"/>
      <w:pStyle w:val="Heading2"/>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1884EF9"/>
    <w:multiLevelType w:val="multilevel"/>
    <w:tmpl w:val="DDC0C090"/>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9751491">
    <w:abstractNumId w:val="0"/>
  </w:num>
  <w:num w:numId="2" w16cid:durableId="262111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81"/>
    <w:rsid w:val="0001023C"/>
    <w:rsid w:val="000A62B6"/>
    <w:rsid w:val="00123854"/>
    <w:rsid w:val="0012780E"/>
    <w:rsid w:val="00252167"/>
    <w:rsid w:val="006B52E9"/>
    <w:rsid w:val="00706781"/>
    <w:rsid w:val="008B7E00"/>
    <w:rsid w:val="0090314C"/>
    <w:rsid w:val="00956273"/>
    <w:rsid w:val="00B23976"/>
    <w:rsid w:val="00B609F7"/>
    <w:rsid w:val="00CC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0BFC"/>
  <w15:docId w15:val="{A32F66A7-3E1F-1F45-A38C-114C467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93B2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366091"/>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color w:val="366091"/>
    </w:rPr>
    <w:tblPr>
      <w:tblStyleRowBandSize w:val="1"/>
      <w:tblStyleColBandSize w:val="1"/>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D3DFEE"/>
      </w:tcPr>
    </w:tblStylePr>
    <w:tblStylePr w:type="band1Horz">
      <w:tblPr/>
      <w:tcPr>
        <w:shd w:val="clear" w:color="auto" w:fill="D3DFEE"/>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color w:val="366091"/>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366091"/>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color w:val="366091"/>
    </w:rPr>
    <w:tblPr>
      <w:tblStyleRowBandSize w:val="1"/>
      <w:tblStyleColBandSize w:val="1"/>
      <w:tblCellMar>
        <w:left w:w="115" w:type="dxa"/>
        <w:right w:w="115" w:type="dxa"/>
      </w:tblCellMar>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D3DFEE"/>
      </w:tcPr>
    </w:tblStylePr>
    <w:tblStylePr w:type="band1Horz">
      <w:tblPr/>
      <w:tcPr>
        <w:shd w:val="clear" w:color="auto" w:fill="D3DFEE"/>
      </w:tcPr>
    </w:tblStylePr>
  </w:style>
  <w:style w:type="table" w:customStyle="1" w:styleId="a8">
    <w:basedOn w:val="TableNormal"/>
    <w:pPr>
      <w:spacing w:after="0" w:line="240" w:lineRule="auto"/>
    </w:pPr>
    <w:rPr>
      <w:color w:val="366091"/>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LfL0dOb/lRS72I1+8cQVvhbpA==">CgMxLjAaHwoBMBIaChgICVIUChJ0YWJsZS4xOTZ2NDduZzNxZ2I4AHIhMVM5OE9xZERRS1hIX2tTLWdqSjJ1R3k0OWxlQlMxNzhy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dcterms:created xsi:type="dcterms:W3CDTF">2025-01-22T04:08:00Z</dcterms:created>
  <dcterms:modified xsi:type="dcterms:W3CDTF">2025-01-22T04:08:00Z</dcterms:modified>
</cp:coreProperties>
</file>