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7F29"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8F694A">
        <w:rPr>
          <w:rFonts w:ascii="Times New Roman" w:hAnsi="Times New Roman" w:cs="Times New Roman"/>
          <w:b/>
          <w:sz w:val="32"/>
          <w:szCs w:val="32"/>
        </w:rPr>
        <w:t>for 2021-2022</w:t>
      </w:r>
      <w:r w:rsidR="00760FF7" w:rsidRPr="009C473D">
        <w:rPr>
          <w:rFonts w:ascii="Times New Roman" w:hAnsi="Times New Roman" w:cs="Times New Roman"/>
          <w:b/>
          <w:sz w:val="32"/>
          <w:szCs w:val="32"/>
        </w:rPr>
        <w:t xml:space="preserve"> AY</w:t>
      </w:r>
    </w:p>
    <w:p w14:paraId="24030AF5" w14:textId="77777777" w:rsidR="000A2350" w:rsidRPr="006E51D0" w:rsidRDefault="00760FF7">
      <w:pPr>
        <w:rPr>
          <w:rFonts w:cstheme="minorHAnsi"/>
        </w:rPr>
      </w:pPr>
      <w:r w:rsidRPr="006E51D0">
        <w:rPr>
          <w:rFonts w:cstheme="minorHAnsi"/>
        </w:rPr>
        <w:t>Repo</w:t>
      </w:r>
      <w:r w:rsidR="009C473D" w:rsidRPr="006E51D0">
        <w:rPr>
          <w:rFonts w:cstheme="minorHAnsi"/>
        </w:rPr>
        <w:t>rts completed on assessment activi</w:t>
      </w:r>
      <w:r w:rsidR="00E259DE" w:rsidRPr="006E51D0">
        <w:rPr>
          <w:rFonts w:cstheme="minorHAnsi"/>
        </w:rPr>
        <w:t xml:space="preserve">ties </w:t>
      </w:r>
      <w:r w:rsidR="008F694A">
        <w:rPr>
          <w:rFonts w:cstheme="minorHAnsi"/>
        </w:rPr>
        <w:t>carried out during the 2021-22</w:t>
      </w:r>
      <w:r w:rsidR="009C473D" w:rsidRPr="006E51D0">
        <w:rPr>
          <w:rFonts w:cstheme="minorHAnsi"/>
        </w:rPr>
        <w:t xml:space="preserve"> AY</w:t>
      </w:r>
      <w:r w:rsidR="00E56C83" w:rsidRPr="006E51D0">
        <w:rPr>
          <w:rFonts w:cstheme="minorHAnsi"/>
        </w:rPr>
        <w:t xml:space="preserve"> will be due September </w:t>
      </w:r>
      <w:r w:rsidRPr="006E51D0">
        <w:rPr>
          <w:rFonts w:cstheme="minorHAnsi"/>
        </w:rPr>
        <w:t>30</w:t>
      </w:r>
      <w:r w:rsidRPr="006E51D0">
        <w:rPr>
          <w:rFonts w:cstheme="minorHAnsi"/>
          <w:vertAlign w:val="superscript"/>
        </w:rPr>
        <w:t>th</w:t>
      </w:r>
      <w:proofErr w:type="gramStart"/>
      <w:r w:rsidR="007A0746">
        <w:rPr>
          <w:rFonts w:cstheme="minorHAnsi"/>
        </w:rPr>
        <w:t xml:space="preserve"> 2022</w:t>
      </w:r>
      <w:proofErr w:type="gramEnd"/>
      <w:r w:rsidR="006464C6" w:rsidRPr="006E51D0">
        <w:rPr>
          <w:rFonts w:cstheme="minorHAnsi"/>
        </w:rPr>
        <w:t xml:space="preserve"> and must be e-mailed to the Director of Assessment, </w:t>
      </w:r>
      <w:r w:rsidR="00635531" w:rsidRPr="006E51D0">
        <w:rPr>
          <w:rFonts w:cstheme="minorHAnsi"/>
        </w:rPr>
        <w:t xml:space="preserve">Dr. </w:t>
      </w:r>
      <w:r w:rsidR="00B94B49" w:rsidRPr="006E51D0">
        <w:rPr>
          <w:rFonts w:cstheme="minorHAnsi"/>
        </w:rPr>
        <w:t>Douglas Fraleigh (douglasf@csufresno.edu</w:t>
      </w:r>
      <w:r w:rsidR="006464C6" w:rsidRPr="006E51D0">
        <w:rPr>
          <w:rFonts w:cstheme="minorHAnsi"/>
        </w:rPr>
        <w:t>).</w:t>
      </w:r>
    </w:p>
    <w:p w14:paraId="23C82249" w14:textId="77777777" w:rsidR="00760FF7" w:rsidRPr="006E51D0" w:rsidRDefault="00760FF7">
      <w:pPr>
        <w:rPr>
          <w:rFonts w:cstheme="minorHAnsi"/>
        </w:rPr>
      </w:pPr>
      <w:r w:rsidRPr="006E51D0">
        <w:rPr>
          <w:rFonts w:cstheme="minorHAnsi"/>
        </w:rPr>
        <w:t>Provide detailed responses for each of the following questions</w:t>
      </w:r>
      <w:r w:rsidR="00A02CA0" w:rsidRPr="006E51D0">
        <w:rPr>
          <w:rFonts w:cstheme="minorHAnsi"/>
        </w:rPr>
        <w:t xml:space="preserve"> w</w:t>
      </w:r>
      <w:r w:rsidR="00635531" w:rsidRPr="006E51D0">
        <w:rPr>
          <w:rFonts w:cstheme="minorHAnsi"/>
        </w:rPr>
        <w:t xml:space="preserve">ithin this word document. Please do </w:t>
      </w:r>
      <w:r w:rsidR="00A02CA0" w:rsidRPr="006E51D0">
        <w:rPr>
          <w:rFonts w:cstheme="minorHAnsi"/>
        </w:rPr>
        <w:t xml:space="preserve">NOT insert an index or add formatting. Furthermore, </w:t>
      </w:r>
      <w:r w:rsidRPr="006E51D0">
        <w:rPr>
          <w:rFonts w:cstheme="minorHAnsi"/>
        </w:rPr>
        <w:t>only report on two or three student learning outcomes even if your external accreditor requires you to evaluate four or more outcomes each</w:t>
      </w:r>
      <w:r w:rsidR="0079041A" w:rsidRPr="006E51D0">
        <w:rPr>
          <w:rFonts w:cstheme="minorHAnsi"/>
        </w:rPr>
        <w:t xml:space="preserve"> year. A</w:t>
      </w:r>
      <w:r w:rsidR="00635531" w:rsidRPr="006E51D0">
        <w:rPr>
          <w:rFonts w:cstheme="minorHAnsi"/>
        </w:rPr>
        <w:t xml:space="preserve">lso be sure to </w:t>
      </w:r>
      <w:r w:rsidR="00A02CA0" w:rsidRPr="006E51D0">
        <w:rPr>
          <w:rFonts w:cstheme="minorHAnsi"/>
        </w:rPr>
        <w:t>e</w:t>
      </w:r>
      <w:r w:rsidR="009C473D" w:rsidRPr="006E51D0">
        <w:rPr>
          <w:rFonts w:cstheme="minorHAnsi"/>
        </w:rPr>
        <w:t>xplain or</w:t>
      </w:r>
      <w:r w:rsidR="0079041A" w:rsidRPr="006E51D0">
        <w:rPr>
          <w:rFonts w:cstheme="minorHAnsi"/>
        </w:rPr>
        <w:t xml:space="preserve"> omit specialized or discipline-</w:t>
      </w:r>
      <w:r w:rsidR="009C473D" w:rsidRPr="006E51D0">
        <w:rPr>
          <w:rFonts w:cstheme="minorHAnsi"/>
        </w:rPr>
        <w:t xml:space="preserve">specific terms. </w:t>
      </w:r>
    </w:p>
    <w:p w14:paraId="4FD816B9" w14:textId="77777777" w:rsidR="00537657" w:rsidRPr="006E51D0" w:rsidRDefault="00766B7F">
      <w:pPr>
        <w:rPr>
          <w:rFonts w:cstheme="minorHAnsi"/>
        </w:rPr>
      </w:pPr>
      <w:r w:rsidRPr="006E51D0">
        <w:rPr>
          <w:rFonts w:cstheme="minorHAnsi"/>
        </w:rPr>
        <w:t>Department/Program:  __</w:t>
      </w:r>
      <w:r w:rsidR="00537657" w:rsidRPr="006E51D0">
        <w:rPr>
          <w:rFonts w:cstheme="minorHAnsi"/>
        </w:rPr>
        <w:t>_</w:t>
      </w:r>
      <w:r w:rsidRPr="006E51D0">
        <w:rPr>
          <w:rFonts w:cstheme="minorHAnsi"/>
          <w:u w:val="single"/>
        </w:rPr>
        <w:t>Media, Communications and Journalism (MCJ</w:t>
      </w:r>
      <w:r w:rsidRPr="006E51D0">
        <w:rPr>
          <w:rFonts w:cstheme="minorHAnsi"/>
        </w:rPr>
        <w:t>)</w:t>
      </w:r>
      <w:r w:rsidR="00537657" w:rsidRPr="006E51D0">
        <w:rPr>
          <w:rFonts w:cstheme="minorHAnsi"/>
        </w:rPr>
        <w:t>___</w:t>
      </w:r>
      <w:proofErr w:type="gramStart"/>
      <w:r w:rsidR="00537657" w:rsidRPr="006E51D0">
        <w:rPr>
          <w:rFonts w:cstheme="minorHAnsi"/>
        </w:rPr>
        <w:t>_  Degree</w:t>
      </w:r>
      <w:proofErr w:type="gramEnd"/>
      <w:r w:rsidR="00537657" w:rsidRPr="006E51D0">
        <w:rPr>
          <w:rFonts w:cstheme="minorHAnsi"/>
        </w:rPr>
        <w:t xml:space="preserve"> _</w:t>
      </w:r>
      <w:r w:rsidRPr="006E51D0">
        <w:rPr>
          <w:rFonts w:cstheme="minorHAnsi"/>
          <w:u w:val="single"/>
        </w:rPr>
        <w:t>B.A.</w:t>
      </w:r>
      <w:r w:rsidR="00537657" w:rsidRPr="006E51D0">
        <w:rPr>
          <w:rFonts w:cstheme="minorHAnsi"/>
        </w:rPr>
        <w:t>__</w:t>
      </w:r>
    </w:p>
    <w:p w14:paraId="2FEC86A2" w14:textId="77777777" w:rsidR="00537657" w:rsidRPr="006E51D0" w:rsidRDefault="00537657">
      <w:pPr>
        <w:rPr>
          <w:rFonts w:cstheme="minorHAnsi"/>
        </w:rPr>
      </w:pPr>
      <w:r w:rsidRPr="006E51D0">
        <w:rPr>
          <w:rFonts w:cstheme="minorHAnsi"/>
        </w:rPr>
        <w:t>Assessment Coordinator: _____</w:t>
      </w:r>
      <w:r w:rsidR="008F694A">
        <w:rPr>
          <w:rFonts w:cstheme="minorHAnsi"/>
          <w:u w:val="single"/>
        </w:rPr>
        <w:t>Dr. T.</w:t>
      </w:r>
      <w:r w:rsidR="00766B7F" w:rsidRPr="006E51D0">
        <w:rPr>
          <w:rFonts w:cstheme="minorHAnsi"/>
          <w:u w:val="single"/>
        </w:rPr>
        <w:t xml:space="preserve"> Pierce </w:t>
      </w:r>
      <w:r w:rsidRPr="006E51D0">
        <w:rPr>
          <w:rFonts w:cstheme="minorHAnsi"/>
        </w:rPr>
        <w:t>________________________________</w:t>
      </w:r>
    </w:p>
    <w:p w14:paraId="1FF5BD03" w14:textId="77777777" w:rsidR="00537657" w:rsidRPr="006E51D0" w:rsidRDefault="00537657">
      <w:pPr>
        <w:rPr>
          <w:rFonts w:cstheme="minorHAnsi"/>
        </w:rPr>
      </w:pPr>
    </w:p>
    <w:p w14:paraId="3160CC7F" w14:textId="77777777" w:rsidR="00760FF7" w:rsidRPr="006E51D0" w:rsidRDefault="0074718C" w:rsidP="00760FF7">
      <w:pPr>
        <w:pStyle w:val="ListParagraph"/>
        <w:numPr>
          <w:ilvl w:val="0"/>
          <w:numId w:val="1"/>
        </w:numPr>
        <w:rPr>
          <w:rFonts w:cstheme="minorHAnsi"/>
        </w:rPr>
      </w:pPr>
      <w:r w:rsidRPr="006E51D0">
        <w:rPr>
          <w:rFonts w:cstheme="minorHAnsi"/>
        </w:rPr>
        <w:t>Please list the learning outcomes you assessed this year</w:t>
      </w:r>
      <w:r w:rsidR="009C473D" w:rsidRPr="006E51D0">
        <w:rPr>
          <w:rFonts w:cstheme="minorHAnsi"/>
        </w:rPr>
        <w:t>.</w:t>
      </w:r>
    </w:p>
    <w:p w14:paraId="6991E4A6" w14:textId="77777777" w:rsidR="00766B7F" w:rsidRPr="006E51D0" w:rsidRDefault="00C5316F" w:rsidP="00766B7F">
      <w:pPr>
        <w:ind w:left="810"/>
        <w:rPr>
          <w:rFonts w:cstheme="minorHAnsi"/>
        </w:rPr>
      </w:pPr>
      <w:r>
        <w:rPr>
          <w:rFonts w:cstheme="minorHAnsi"/>
        </w:rPr>
        <w:t>As per the instructions, f</w:t>
      </w:r>
      <w:r w:rsidR="00766B7F" w:rsidRPr="006E51D0">
        <w:rPr>
          <w:rFonts w:cstheme="minorHAnsi"/>
        </w:rPr>
        <w:t>or this assessmen</w:t>
      </w:r>
      <w:r w:rsidR="00294B35">
        <w:rPr>
          <w:rFonts w:cstheme="minorHAnsi"/>
        </w:rPr>
        <w:t>t</w:t>
      </w:r>
      <w:r w:rsidR="00BC19F3">
        <w:rPr>
          <w:rFonts w:cstheme="minorHAnsi"/>
        </w:rPr>
        <w:t xml:space="preserve"> period, we assessed the following </w:t>
      </w:r>
      <w:r>
        <w:rPr>
          <w:rFonts w:cstheme="minorHAnsi"/>
        </w:rPr>
        <w:t>2</w:t>
      </w:r>
      <w:r w:rsidR="00BC19F3">
        <w:rPr>
          <w:rFonts w:cstheme="minorHAnsi"/>
        </w:rPr>
        <w:t xml:space="preserve"> MCJ SLOs and 1 GE SLO</w:t>
      </w:r>
    </w:p>
    <w:p w14:paraId="1CFD9D35" w14:textId="77777777" w:rsidR="00115ACD" w:rsidRDefault="00BC19F3" w:rsidP="00115ACD">
      <w:pPr>
        <w:tabs>
          <w:tab w:val="left" w:pos="900"/>
        </w:tabs>
        <w:ind w:left="810"/>
        <w:rPr>
          <w:b/>
        </w:rPr>
      </w:pPr>
      <w:r>
        <w:rPr>
          <w:b/>
        </w:rPr>
        <w:t>MCJ</w:t>
      </w:r>
      <w:r w:rsidR="00E87913">
        <w:rPr>
          <w:b/>
        </w:rPr>
        <w:t xml:space="preserve"> SLOs</w:t>
      </w:r>
    </w:p>
    <w:p w14:paraId="4884B91E" w14:textId="77777777" w:rsidR="00115ACD" w:rsidRPr="00BC19F3" w:rsidRDefault="001A5344" w:rsidP="00BC19F3">
      <w:pPr>
        <w:ind w:left="1440"/>
      </w:pPr>
      <w:r w:rsidRPr="001A5344">
        <w:rPr>
          <w:b/>
        </w:rPr>
        <w:t>Student Learning Outcome 1.3</w:t>
      </w:r>
      <w:r>
        <w:t>: Explain media theories.</w:t>
      </w:r>
    </w:p>
    <w:p w14:paraId="26BE9CF3" w14:textId="77777777" w:rsidR="00294B35" w:rsidRDefault="00294B35" w:rsidP="00294B35">
      <w:pPr>
        <w:ind w:left="1440"/>
      </w:pPr>
      <w:r w:rsidRPr="00294B35">
        <w:rPr>
          <w:b/>
        </w:rPr>
        <w:t>Student Learning Outcome 2.1</w:t>
      </w:r>
      <w:r>
        <w:t xml:space="preserve">: Demonstrate correct grammar, </w:t>
      </w:r>
      <w:proofErr w:type="gramStart"/>
      <w:r>
        <w:t>spelling</w:t>
      </w:r>
      <w:proofErr w:type="gramEnd"/>
      <w:r>
        <w:t xml:space="preserve"> and punctuation in written materials.</w:t>
      </w:r>
    </w:p>
    <w:p w14:paraId="7997E313" w14:textId="77777777" w:rsidR="00B54BAF" w:rsidRDefault="00B54BAF" w:rsidP="006E51D0">
      <w:pPr>
        <w:spacing w:after="0" w:line="240" w:lineRule="auto"/>
        <w:ind w:left="810" w:hanging="90"/>
        <w:rPr>
          <w:rFonts w:eastAsia="Calibri" w:cstheme="minorHAnsi"/>
          <w:b/>
        </w:rPr>
      </w:pPr>
    </w:p>
    <w:p w14:paraId="52EF5712" w14:textId="77777777" w:rsidR="00115ACD" w:rsidRDefault="00B54BAF" w:rsidP="006E51D0">
      <w:pPr>
        <w:spacing w:after="0" w:line="240" w:lineRule="auto"/>
        <w:ind w:left="810" w:hanging="90"/>
        <w:rPr>
          <w:rFonts w:cstheme="minorHAnsi"/>
        </w:rPr>
      </w:pPr>
      <w:r>
        <w:rPr>
          <w:rFonts w:eastAsia="Calibri" w:cstheme="minorHAnsi"/>
          <w:b/>
        </w:rPr>
        <w:t xml:space="preserve">  </w:t>
      </w:r>
      <w:r w:rsidR="00E87913">
        <w:rPr>
          <w:rFonts w:eastAsia="Calibri" w:cstheme="minorHAnsi"/>
          <w:b/>
        </w:rPr>
        <w:t>GE SLO: A</w:t>
      </w:r>
      <w:r w:rsidR="006E51D0" w:rsidRPr="006E51D0">
        <w:rPr>
          <w:rFonts w:eastAsia="Calibri" w:cstheme="minorHAnsi"/>
          <w:b/>
        </w:rPr>
        <w:t>rea D</w:t>
      </w:r>
      <w:r w:rsidR="006E51D0" w:rsidRPr="006E51D0">
        <w:rPr>
          <w:rFonts w:cstheme="minorHAnsi"/>
        </w:rPr>
        <w:t xml:space="preserve"> </w:t>
      </w:r>
      <w:r w:rsidR="006E51D0" w:rsidRPr="00EE6105">
        <w:rPr>
          <w:rFonts w:cstheme="minorHAnsi"/>
          <w:b/>
        </w:rPr>
        <w:t>SLO 3</w:t>
      </w:r>
      <w:r w:rsidR="006E51D0" w:rsidRPr="006E51D0">
        <w:rPr>
          <w:rFonts w:cstheme="minorHAnsi"/>
        </w:rPr>
        <w:t xml:space="preserve">: Discuss the influence of major social, cultural, economic, and political </w:t>
      </w:r>
    </w:p>
    <w:p w14:paraId="42EC4174" w14:textId="77777777" w:rsidR="006E51D0" w:rsidRPr="006E51D0" w:rsidRDefault="006E51D0" w:rsidP="00115ACD">
      <w:pPr>
        <w:spacing w:after="0" w:line="240" w:lineRule="auto"/>
        <w:ind w:left="810" w:firstLine="630"/>
        <w:rPr>
          <w:rFonts w:cstheme="minorHAnsi"/>
        </w:rPr>
      </w:pPr>
      <w:r w:rsidRPr="006E51D0">
        <w:rPr>
          <w:rFonts w:cstheme="minorHAnsi"/>
        </w:rPr>
        <w:t>forces on human behavior and institutions.</w:t>
      </w:r>
    </w:p>
    <w:p w14:paraId="7C97D8E7" w14:textId="77777777" w:rsidR="00760FF7" w:rsidRPr="006E51D0" w:rsidRDefault="00760FF7" w:rsidP="00760FF7">
      <w:pPr>
        <w:rPr>
          <w:rFonts w:cstheme="minorHAnsi"/>
        </w:rPr>
      </w:pPr>
    </w:p>
    <w:p w14:paraId="686906FC" w14:textId="77777777" w:rsidR="00760FF7" w:rsidRPr="006E51D0" w:rsidRDefault="00760FF7" w:rsidP="00760FF7">
      <w:pPr>
        <w:pStyle w:val="ListParagraph"/>
        <w:numPr>
          <w:ilvl w:val="0"/>
          <w:numId w:val="1"/>
        </w:numPr>
        <w:rPr>
          <w:rFonts w:cstheme="minorHAnsi"/>
        </w:rPr>
      </w:pPr>
      <w:r w:rsidRPr="006E51D0">
        <w:rPr>
          <w:rFonts w:cstheme="minorHAnsi"/>
        </w:rPr>
        <w:t xml:space="preserve">What assignment or survey did you use to assess the outcomes and what method (criteria or rubric) did you use to evaluate the assignment? </w:t>
      </w:r>
      <w:r w:rsidR="0074718C" w:rsidRPr="006E51D0">
        <w:rPr>
          <w:rFonts w:cstheme="minorHAnsi"/>
        </w:rPr>
        <w:t xml:space="preserve">Please </w:t>
      </w:r>
      <w:r w:rsidRPr="006E51D0">
        <w:rPr>
          <w:rFonts w:cstheme="minorHAnsi"/>
        </w:rPr>
        <w:t>describe the assignment and the criteria or rubric used to eval</w:t>
      </w:r>
      <w:r w:rsidR="0074718C" w:rsidRPr="006E51D0">
        <w:rPr>
          <w:rFonts w:cstheme="minorHAnsi"/>
        </w:rPr>
        <w:t xml:space="preserve">uate the assignment in detail and, if possible, </w:t>
      </w:r>
      <w:r w:rsidRPr="006E51D0">
        <w:rPr>
          <w:rFonts w:cstheme="minorHAnsi"/>
        </w:rPr>
        <w:t xml:space="preserve">include copies of the assignment and criteria/rubric at the end of this report. </w:t>
      </w:r>
    </w:p>
    <w:p w14:paraId="203DCF22" w14:textId="77777777" w:rsidR="00294B35" w:rsidRPr="00294B35" w:rsidRDefault="00E87913" w:rsidP="00F807AB">
      <w:pPr>
        <w:pStyle w:val="ListParagraph"/>
        <w:numPr>
          <w:ilvl w:val="1"/>
          <w:numId w:val="1"/>
        </w:numPr>
        <w:spacing w:after="0" w:line="240" w:lineRule="auto"/>
        <w:rPr>
          <w:rFonts w:eastAsia="Times New Roman" w:cstheme="minorHAnsi"/>
        </w:rPr>
      </w:pPr>
      <w:r>
        <w:rPr>
          <w:rFonts w:eastAsia="Times New Roman" w:cstheme="minorHAnsi"/>
          <w:b/>
        </w:rPr>
        <w:t xml:space="preserve">Writing Assignment:  </w:t>
      </w:r>
    </w:p>
    <w:p w14:paraId="7E40202B" w14:textId="77777777" w:rsidR="001A5344" w:rsidRDefault="001A5344" w:rsidP="001A5344">
      <w:pPr>
        <w:pStyle w:val="ListParagraph"/>
        <w:numPr>
          <w:ilvl w:val="2"/>
          <w:numId w:val="1"/>
        </w:numPr>
        <w:spacing w:after="0" w:line="240" w:lineRule="auto"/>
        <w:rPr>
          <w:rFonts w:eastAsia="Times New Roman" w:cstheme="minorHAnsi"/>
        </w:rPr>
      </w:pPr>
      <w:r w:rsidRPr="001A5344">
        <w:rPr>
          <w:rFonts w:eastAsia="Times New Roman" w:cstheme="minorHAnsi"/>
        </w:rPr>
        <w:t>Assignment</w:t>
      </w:r>
      <w:r>
        <w:rPr>
          <w:rFonts w:eastAsia="Times New Roman" w:cstheme="minorHAnsi"/>
        </w:rPr>
        <w:t xml:space="preserve"> Criteria</w:t>
      </w:r>
    </w:p>
    <w:p w14:paraId="7D1F0322" w14:textId="77777777" w:rsidR="001A5344" w:rsidRPr="001A5344" w:rsidRDefault="001A5344" w:rsidP="00BC19F3">
      <w:pPr>
        <w:pStyle w:val="ListParagraph"/>
        <w:numPr>
          <w:ilvl w:val="3"/>
          <w:numId w:val="1"/>
        </w:numPr>
        <w:spacing w:after="0" w:line="240" w:lineRule="auto"/>
        <w:rPr>
          <w:rFonts w:eastAsia="Times New Roman" w:cstheme="minorHAnsi"/>
        </w:rPr>
      </w:pPr>
      <w:r>
        <w:rPr>
          <w:rFonts w:eastAsia="Times New Roman" w:cstheme="minorHAnsi"/>
        </w:rPr>
        <w:t>W</w:t>
      </w:r>
      <w:r w:rsidRPr="001A5344">
        <w:rPr>
          <w:rFonts w:eastAsia="Times New Roman" w:cstheme="minorHAnsi"/>
        </w:rPr>
        <w:t xml:space="preserve">rite a 5-page essay. </w:t>
      </w:r>
      <w:r>
        <w:rPr>
          <w:rFonts w:cstheme="minorHAnsi"/>
          <w:lang w:bidi="en-US"/>
        </w:rPr>
        <w:t>Students were required to r</w:t>
      </w:r>
      <w:r w:rsidRPr="001A5344">
        <w:rPr>
          <w:rFonts w:cstheme="minorHAnsi"/>
          <w:lang w:bidi="en-US"/>
        </w:rPr>
        <w:t>eflect on the interconnection between culture, television content and advertising practices based on what was discussed in class, reading assignments an</w:t>
      </w:r>
      <w:r>
        <w:rPr>
          <w:rFonts w:cstheme="minorHAnsi"/>
          <w:lang w:bidi="en-US"/>
        </w:rPr>
        <w:t>d lecture notes. They were to c</w:t>
      </w:r>
      <w:r w:rsidRPr="001A5344">
        <w:rPr>
          <w:rFonts w:cstheme="minorHAnsi"/>
          <w:lang w:bidi="en-US"/>
        </w:rPr>
        <w:t>onsider the development of television and television’s subsequent impact on culture and society</w:t>
      </w:r>
      <w:r>
        <w:rPr>
          <w:rFonts w:cstheme="minorHAnsi"/>
          <w:lang w:bidi="en-US"/>
        </w:rPr>
        <w:t xml:space="preserve"> </w:t>
      </w:r>
      <w:r w:rsidR="00E87913">
        <w:rPr>
          <w:rFonts w:cstheme="minorHAnsi"/>
          <w:lang w:bidi="en-US"/>
        </w:rPr>
        <w:t>in their analysis (</w:t>
      </w:r>
      <w:r>
        <w:rPr>
          <w:rFonts w:cstheme="minorHAnsi"/>
          <w:lang w:bidi="en-US"/>
        </w:rPr>
        <w:t>GE SLO 3)</w:t>
      </w:r>
    </w:p>
    <w:p w14:paraId="29C836C0" w14:textId="77777777" w:rsidR="001A5344" w:rsidRPr="00095BE5" w:rsidRDefault="001A5344" w:rsidP="001A5344">
      <w:pPr>
        <w:pStyle w:val="ListParagraph"/>
        <w:numPr>
          <w:ilvl w:val="3"/>
          <w:numId w:val="1"/>
        </w:numPr>
        <w:spacing w:after="0" w:line="240" w:lineRule="auto"/>
        <w:rPr>
          <w:rFonts w:eastAsia="Times New Roman" w:cstheme="minorHAnsi"/>
        </w:rPr>
      </w:pPr>
      <w:r>
        <w:rPr>
          <w:rFonts w:cstheme="minorHAnsi"/>
          <w:lang w:bidi="en-US"/>
        </w:rPr>
        <w:t xml:space="preserve">Students were required to use </w:t>
      </w:r>
      <w:r w:rsidRPr="001A5344">
        <w:rPr>
          <w:rFonts w:cstheme="minorHAnsi"/>
          <w:lang w:bidi="en-US"/>
        </w:rPr>
        <w:t xml:space="preserve">cultivation theory (CT) or social learning theory (SLT) as </w:t>
      </w:r>
      <w:r>
        <w:rPr>
          <w:rFonts w:cstheme="minorHAnsi"/>
          <w:lang w:bidi="en-US"/>
        </w:rPr>
        <w:t xml:space="preserve">a framework (SLO 1.3) to explain ways in which </w:t>
      </w:r>
      <w:r w:rsidR="00F82278">
        <w:rPr>
          <w:rFonts w:cstheme="minorHAnsi"/>
          <w:lang w:bidi="en-US"/>
        </w:rPr>
        <w:t>media</w:t>
      </w:r>
      <w:r w:rsidRPr="001A5344">
        <w:rPr>
          <w:rFonts w:cstheme="minorHAnsi"/>
          <w:lang w:bidi="en-US"/>
        </w:rPr>
        <w:t xml:space="preserve"> influence </w:t>
      </w:r>
      <w:r>
        <w:rPr>
          <w:rFonts w:cstheme="minorHAnsi"/>
          <w:lang w:bidi="en-US"/>
        </w:rPr>
        <w:t>society</w:t>
      </w:r>
      <w:r w:rsidRPr="001A5344">
        <w:rPr>
          <w:rFonts w:cstheme="minorHAnsi"/>
          <w:lang w:bidi="en-US"/>
        </w:rPr>
        <w:t>.</w:t>
      </w:r>
    </w:p>
    <w:p w14:paraId="00E91FEC" w14:textId="77777777" w:rsidR="00095BE5" w:rsidRPr="00F82278" w:rsidRDefault="00095BE5" w:rsidP="001A5344">
      <w:pPr>
        <w:pStyle w:val="ListParagraph"/>
        <w:numPr>
          <w:ilvl w:val="3"/>
          <w:numId w:val="1"/>
        </w:numPr>
        <w:spacing w:after="0" w:line="240" w:lineRule="auto"/>
        <w:rPr>
          <w:rFonts w:eastAsia="Times New Roman" w:cstheme="minorHAnsi"/>
        </w:rPr>
      </w:pPr>
      <w:r>
        <w:rPr>
          <w:rFonts w:cstheme="minorHAnsi"/>
          <w:lang w:bidi="en-US"/>
        </w:rPr>
        <w:lastRenderedPageBreak/>
        <w:t xml:space="preserve">Students were required to </w:t>
      </w:r>
      <w:r>
        <w:t xml:space="preserve">demonstrate correct grammar, </w:t>
      </w:r>
      <w:proofErr w:type="gramStart"/>
      <w:r>
        <w:t>spelling</w:t>
      </w:r>
      <w:proofErr w:type="gramEnd"/>
      <w:r>
        <w:t xml:space="preserve"> and punctuation in the benchmark paper (SLO 2.1) and u</w:t>
      </w:r>
      <w:r>
        <w:rPr>
          <w:rFonts w:cstheme="minorHAnsi"/>
          <w:lang w:bidi="en-US"/>
        </w:rPr>
        <w:t>se appropriat</w:t>
      </w:r>
      <w:r w:rsidR="00C5316F">
        <w:rPr>
          <w:rFonts w:cstheme="minorHAnsi"/>
          <w:lang w:bidi="en-US"/>
        </w:rPr>
        <w:t>e writing style.</w:t>
      </w:r>
    </w:p>
    <w:p w14:paraId="0A7A4EBE" w14:textId="77777777" w:rsidR="00F82278" w:rsidRPr="001A5344" w:rsidRDefault="00D15182" w:rsidP="001A5344">
      <w:pPr>
        <w:pStyle w:val="ListParagraph"/>
        <w:numPr>
          <w:ilvl w:val="3"/>
          <w:numId w:val="1"/>
        </w:numPr>
        <w:spacing w:after="0" w:line="240" w:lineRule="auto"/>
        <w:rPr>
          <w:rFonts w:eastAsia="Times New Roman" w:cstheme="minorHAnsi"/>
        </w:rPr>
      </w:pPr>
      <w:r w:rsidRPr="00D15182">
        <w:rPr>
          <w:rFonts w:eastAsia="Times New Roman" w:cstheme="minorHAnsi"/>
        </w:rPr>
        <w:t>Rubric:</w:t>
      </w:r>
      <w:r>
        <w:rPr>
          <w:rFonts w:eastAsia="Times New Roman" w:cstheme="minorHAnsi"/>
          <w:b/>
        </w:rPr>
        <w:t xml:space="preserve"> </w:t>
      </w:r>
      <w:r w:rsidR="002A287B">
        <w:rPr>
          <w:rFonts w:eastAsia="Times New Roman" w:cstheme="minorHAnsi"/>
        </w:rPr>
        <w:t>Se</w:t>
      </w:r>
      <w:r w:rsidR="00294B35">
        <w:rPr>
          <w:rFonts w:eastAsia="Times New Roman" w:cstheme="minorHAnsi"/>
        </w:rPr>
        <w:t>e attached for rubric</w:t>
      </w:r>
    </w:p>
    <w:p w14:paraId="112B96BC" w14:textId="77777777" w:rsidR="003B2E0B" w:rsidRPr="00BC19F3" w:rsidRDefault="003B2E0B" w:rsidP="00BC19F3">
      <w:pPr>
        <w:spacing w:after="0" w:line="240" w:lineRule="auto"/>
        <w:rPr>
          <w:rFonts w:eastAsia="Times New Roman" w:cstheme="minorHAnsi"/>
          <w:color w:val="FF0000"/>
        </w:rPr>
      </w:pPr>
    </w:p>
    <w:p w14:paraId="504262C1" w14:textId="77777777" w:rsidR="00053794" w:rsidRDefault="0074718C" w:rsidP="00053794">
      <w:pPr>
        <w:pStyle w:val="ListParagraph"/>
        <w:numPr>
          <w:ilvl w:val="0"/>
          <w:numId w:val="1"/>
        </w:numPr>
        <w:rPr>
          <w:rFonts w:cstheme="minorHAnsi"/>
        </w:rPr>
      </w:pPr>
      <w:r w:rsidRPr="006E51D0">
        <w:rPr>
          <w:rFonts w:cstheme="minorHAnsi"/>
        </w:rPr>
        <w:t xml:space="preserve">What did you learn from your analysis of the </w:t>
      </w:r>
      <w:r w:rsidR="00760FF7" w:rsidRPr="006E51D0">
        <w:rPr>
          <w:rFonts w:cstheme="minorHAnsi"/>
        </w:rPr>
        <w:t>data?</w:t>
      </w:r>
      <w:r w:rsidRPr="006E51D0">
        <w:rPr>
          <w:rFonts w:cstheme="minorHAnsi"/>
        </w:rPr>
        <w:t xml:space="preserve"> Please </w:t>
      </w:r>
      <w:r w:rsidR="00760FF7" w:rsidRPr="006E51D0">
        <w:rPr>
          <w:rFonts w:cstheme="minorHAnsi"/>
        </w:rPr>
        <w:t xml:space="preserve">include sample size (how many students were evaluated) and indicate how many students (number or percentage instead of a median or mean) were designated as proficient. </w:t>
      </w:r>
    </w:p>
    <w:p w14:paraId="1DD36E01" w14:textId="77777777" w:rsidR="00053794" w:rsidRPr="00053794" w:rsidRDefault="00053794" w:rsidP="00053794">
      <w:pPr>
        <w:pStyle w:val="ListParagraph"/>
        <w:numPr>
          <w:ilvl w:val="1"/>
          <w:numId w:val="1"/>
        </w:numPr>
        <w:rPr>
          <w:rFonts w:cstheme="minorHAnsi"/>
        </w:rPr>
      </w:pPr>
      <w:r w:rsidRPr="00053794">
        <w:rPr>
          <w:rFonts w:cstheme="minorHAnsi"/>
          <w:b/>
          <w:lang w:bidi="en-US"/>
        </w:rPr>
        <w:t xml:space="preserve">Benchmark: </w:t>
      </w:r>
    </w:p>
    <w:p w14:paraId="532FDD1A" w14:textId="46263CD9" w:rsidR="00053794" w:rsidRPr="00053794" w:rsidRDefault="006127AC" w:rsidP="00053794">
      <w:pPr>
        <w:pStyle w:val="ListParagraph"/>
        <w:widowControl w:val="0"/>
        <w:numPr>
          <w:ilvl w:val="2"/>
          <w:numId w:val="1"/>
        </w:numPr>
        <w:autoSpaceDE w:val="0"/>
        <w:autoSpaceDN w:val="0"/>
        <w:adjustRightInd w:val="0"/>
        <w:rPr>
          <w:rFonts w:cstheme="minorHAnsi"/>
          <w:lang w:bidi="en-US"/>
        </w:rPr>
      </w:pPr>
      <w:r>
        <w:rPr>
          <w:rFonts w:cstheme="minorHAnsi"/>
          <w:lang w:bidi="en-US"/>
        </w:rPr>
        <w:t>As a Benchmark, 80% or more of s</w:t>
      </w:r>
      <w:r w:rsidR="00053794" w:rsidRPr="00053794">
        <w:rPr>
          <w:rFonts w:cstheme="minorHAnsi"/>
          <w:lang w:bidi="en-US"/>
        </w:rPr>
        <w:t xml:space="preserve">tudents were expected to achieve a minimum score of 70 points out of 100 points </w:t>
      </w:r>
      <w:r w:rsidR="00053794">
        <w:rPr>
          <w:rFonts w:cstheme="minorHAnsi"/>
          <w:lang w:bidi="en-US"/>
        </w:rPr>
        <w:t>(letter grade C)</w:t>
      </w:r>
      <w:r w:rsidR="00053794" w:rsidRPr="00053794">
        <w:rPr>
          <w:rFonts w:cstheme="minorHAnsi"/>
          <w:lang w:bidi="en-US"/>
        </w:rPr>
        <w:t xml:space="preserve"> to demonstrate proficiency—mastery of the GE learning outcomes and proficient knowledge of and breadth of understanding of media’s role in society and media effects theories.</w:t>
      </w:r>
    </w:p>
    <w:p w14:paraId="6E4205E2" w14:textId="77777777" w:rsidR="00053794" w:rsidRPr="00053794" w:rsidRDefault="00053794" w:rsidP="00053794">
      <w:pPr>
        <w:pStyle w:val="ListParagraph"/>
        <w:widowControl w:val="0"/>
        <w:numPr>
          <w:ilvl w:val="1"/>
          <w:numId w:val="1"/>
        </w:numPr>
        <w:autoSpaceDE w:val="0"/>
        <w:autoSpaceDN w:val="0"/>
        <w:adjustRightInd w:val="0"/>
        <w:rPr>
          <w:rFonts w:cstheme="minorHAnsi"/>
          <w:lang w:bidi="en-US"/>
        </w:rPr>
      </w:pPr>
      <w:r w:rsidRPr="00053794">
        <w:rPr>
          <w:rFonts w:cstheme="minorHAnsi"/>
          <w:b/>
          <w:lang w:bidi="en-US"/>
        </w:rPr>
        <w:t>Outcome:</w:t>
      </w:r>
    </w:p>
    <w:p w14:paraId="75E8AE54" w14:textId="77777777" w:rsidR="00053794" w:rsidRPr="00053794" w:rsidRDefault="00053794" w:rsidP="00053794">
      <w:pPr>
        <w:pStyle w:val="ListParagraph"/>
        <w:widowControl w:val="0"/>
        <w:numPr>
          <w:ilvl w:val="2"/>
          <w:numId w:val="1"/>
        </w:numPr>
        <w:autoSpaceDE w:val="0"/>
        <w:autoSpaceDN w:val="0"/>
        <w:adjustRightInd w:val="0"/>
        <w:rPr>
          <w:rFonts w:cstheme="minorHAnsi"/>
          <w:lang w:bidi="en-US"/>
        </w:rPr>
      </w:pPr>
      <w:r w:rsidRPr="00053794">
        <w:rPr>
          <w:rFonts w:cstheme="minorHAnsi"/>
          <w:lang w:bidi="en-US"/>
        </w:rPr>
        <w:t xml:space="preserve">Nearly 86.8% (N=33) of the 38 students enrolled in this section of MCJ 1 achieved the learning outcomes, reflecting mastery of the GE learning outcomes and knowledge of and breadth of understanding of media’s role in society and media effects theories. Of this group of 33 students 54.5% (N=18 students) earned a letter grade of “A” (90-100 points) on the assessment assignment, 30.3% (N=10) earned a letter grade of “B” (80-89.9 points) and 15.1% (N=5) earned a letter grade of “C” (70-79.9 points). </w:t>
      </w:r>
    </w:p>
    <w:p w14:paraId="7A74B6D6" w14:textId="77777777" w:rsidR="00053794" w:rsidRPr="00053794" w:rsidRDefault="00053794" w:rsidP="00053794">
      <w:pPr>
        <w:pStyle w:val="ListParagraph"/>
        <w:widowControl w:val="0"/>
        <w:numPr>
          <w:ilvl w:val="2"/>
          <w:numId w:val="1"/>
        </w:numPr>
        <w:autoSpaceDE w:val="0"/>
        <w:autoSpaceDN w:val="0"/>
        <w:adjustRightInd w:val="0"/>
        <w:rPr>
          <w:rFonts w:cstheme="minorHAnsi"/>
          <w:lang w:bidi="en-US"/>
        </w:rPr>
      </w:pPr>
      <w:r w:rsidRPr="00053794">
        <w:rPr>
          <w:rFonts w:cstheme="minorHAnsi"/>
          <w:lang w:bidi="en-US"/>
        </w:rPr>
        <w:t xml:space="preserve">13.1% (N=5) of the 38 students enrolled in MCJ 1 did not achieve the learning outcomes. Of this group of 5 students 60% (N=3 students) earned a letter grade of “D” (60-69.9 points), demonstrating slightly weak knowledge of and breadth of understanding of the learning outcomes. 40% (N=2) earned a letter grade of “F” (0-59.9 points). It is important to note that these 2 students stopped attending and participating in the course by the middle of the term. Neither did they submit the assessment assignment for a grade. Therefore, data for 2 of the 38 students enrolled in MCJ 1 is missing. </w:t>
      </w:r>
    </w:p>
    <w:p w14:paraId="6A97265A" w14:textId="77777777" w:rsidR="00E56C83" w:rsidRPr="006E51D0" w:rsidRDefault="00E56C83" w:rsidP="00E56C83">
      <w:pPr>
        <w:rPr>
          <w:rFonts w:cstheme="minorHAnsi"/>
        </w:rPr>
      </w:pPr>
    </w:p>
    <w:p w14:paraId="43A73937" w14:textId="77777777" w:rsidR="004C3919" w:rsidRDefault="00760FF7" w:rsidP="004C3919">
      <w:pPr>
        <w:pStyle w:val="ListParagraph"/>
        <w:numPr>
          <w:ilvl w:val="0"/>
          <w:numId w:val="1"/>
        </w:numPr>
        <w:rPr>
          <w:rFonts w:cstheme="minorHAnsi"/>
        </w:rPr>
      </w:pPr>
      <w:r w:rsidRPr="006E51D0">
        <w:rPr>
          <w:rFonts w:cstheme="minorHAnsi"/>
        </w:rPr>
        <w:t>What changes, if any, do you recommend based on the assessment data?</w:t>
      </w:r>
    </w:p>
    <w:p w14:paraId="014AC9C0" w14:textId="77777777" w:rsidR="00053794" w:rsidRPr="004C3919" w:rsidRDefault="004C3919" w:rsidP="00D04DE1">
      <w:pPr>
        <w:pStyle w:val="ListParagraph"/>
        <w:numPr>
          <w:ilvl w:val="2"/>
          <w:numId w:val="1"/>
        </w:numPr>
        <w:rPr>
          <w:rFonts w:cstheme="minorHAnsi"/>
        </w:rPr>
      </w:pPr>
      <w:r>
        <w:rPr>
          <w:rFonts w:cstheme="minorHAnsi"/>
          <w:iCs/>
          <w:lang w:bidi="en-US"/>
        </w:rPr>
        <w:t xml:space="preserve">No distinct changes but will continue using </w:t>
      </w:r>
      <w:r w:rsidR="00053794" w:rsidRPr="004C3919">
        <w:rPr>
          <w:rFonts w:cstheme="minorHAnsi"/>
          <w:i/>
          <w:iCs/>
          <w:lang w:bidi="en-US"/>
        </w:rPr>
        <w:t>scaf</w:t>
      </w:r>
      <w:r>
        <w:rPr>
          <w:rFonts w:cstheme="minorHAnsi"/>
          <w:i/>
          <w:iCs/>
          <w:lang w:bidi="en-US"/>
        </w:rPr>
        <w:t>folding strategies</w:t>
      </w:r>
      <w:r w:rsidR="00053794" w:rsidRPr="004C3919">
        <w:rPr>
          <w:rFonts w:cstheme="minorHAnsi"/>
          <w:i/>
          <w:iCs/>
          <w:lang w:bidi="en-US"/>
        </w:rPr>
        <w:t>.</w:t>
      </w:r>
      <w:r w:rsidR="00053794" w:rsidRPr="004C3919">
        <w:rPr>
          <w:rFonts w:cstheme="minorHAnsi"/>
          <w:lang w:bidi="en-US"/>
        </w:rPr>
        <w:t xml:space="preserve"> Scaffolding and other active learning strategies </w:t>
      </w:r>
      <w:r>
        <w:rPr>
          <w:rFonts w:cstheme="minorHAnsi"/>
          <w:lang w:bidi="en-US"/>
        </w:rPr>
        <w:t xml:space="preserve">were used this year and </w:t>
      </w:r>
      <w:r w:rsidR="00053794" w:rsidRPr="004C3919">
        <w:rPr>
          <w:rFonts w:cstheme="minorHAnsi"/>
          <w:lang w:bidi="en-US"/>
        </w:rPr>
        <w:t xml:space="preserve">will continue to be used </w:t>
      </w:r>
      <w:proofErr w:type="gramStart"/>
      <w:r w:rsidR="00053794" w:rsidRPr="004C3919">
        <w:rPr>
          <w:rFonts w:cstheme="minorHAnsi"/>
          <w:lang w:bidi="en-US"/>
        </w:rPr>
        <w:t>in order to</w:t>
      </w:r>
      <w:proofErr w:type="gramEnd"/>
      <w:r w:rsidR="00053794" w:rsidRPr="004C3919">
        <w:rPr>
          <w:rFonts w:cstheme="minorHAnsi"/>
          <w:lang w:bidi="en-US"/>
        </w:rPr>
        <w:t xml:space="preserve"> improve student performance and achieve student learning outcomes. </w:t>
      </w:r>
    </w:p>
    <w:p w14:paraId="2D2A8B44" w14:textId="77777777" w:rsidR="00760FF7" w:rsidRPr="006E51D0" w:rsidRDefault="00760FF7" w:rsidP="00760FF7">
      <w:pPr>
        <w:rPr>
          <w:rFonts w:cstheme="minorHAnsi"/>
        </w:rPr>
      </w:pPr>
    </w:p>
    <w:p w14:paraId="542D723D" w14:textId="77777777" w:rsidR="00760FF7" w:rsidRPr="006E51D0" w:rsidRDefault="00760FF7" w:rsidP="00760FF7">
      <w:pPr>
        <w:pStyle w:val="ListParagraph"/>
        <w:numPr>
          <w:ilvl w:val="0"/>
          <w:numId w:val="1"/>
        </w:numPr>
        <w:rPr>
          <w:rFonts w:cstheme="minorHAnsi"/>
        </w:rPr>
      </w:pPr>
      <w:r w:rsidRPr="006E51D0">
        <w:rPr>
          <w:rFonts w:cstheme="minorHAnsi"/>
        </w:rPr>
        <w:t>If you recommended a</w:t>
      </w:r>
      <w:r w:rsidR="0079041A" w:rsidRPr="006E51D0">
        <w:rPr>
          <w:rFonts w:cstheme="minorHAnsi"/>
        </w:rPr>
        <w:t>ny changes in your response to Q</w:t>
      </w:r>
      <w:r w:rsidRPr="006E51D0">
        <w:rPr>
          <w:rFonts w:cstheme="minorHAnsi"/>
        </w:rPr>
        <w:t>uestion 4 in last year’s assessment report, what progress have you made in implementing these changes? If you did not recommend making any changes in last year’s report please write N/A as your answer to this question.</w:t>
      </w:r>
    </w:p>
    <w:p w14:paraId="6E847EE3" w14:textId="77777777" w:rsidR="006D0CDF" w:rsidRPr="006E51D0" w:rsidRDefault="006D0CDF" w:rsidP="006D0CDF">
      <w:pPr>
        <w:pStyle w:val="ListParagraph"/>
        <w:rPr>
          <w:rFonts w:cstheme="minorHAnsi"/>
        </w:rPr>
      </w:pPr>
      <w:r w:rsidRPr="006E51D0">
        <w:rPr>
          <w:rFonts w:cstheme="minorHAnsi"/>
        </w:rPr>
        <w:t>N/A</w:t>
      </w:r>
    </w:p>
    <w:p w14:paraId="6C04C233" w14:textId="77777777" w:rsidR="00760FF7" w:rsidRPr="006E51D0" w:rsidRDefault="00760FF7" w:rsidP="00760FF7">
      <w:pPr>
        <w:rPr>
          <w:rFonts w:cstheme="minorHAnsi"/>
        </w:rPr>
      </w:pPr>
    </w:p>
    <w:p w14:paraId="0D9B028F" w14:textId="77777777" w:rsidR="00760FF7" w:rsidRPr="006E51D0" w:rsidRDefault="00760FF7" w:rsidP="00760FF7">
      <w:pPr>
        <w:pStyle w:val="ListParagraph"/>
        <w:numPr>
          <w:ilvl w:val="0"/>
          <w:numId w:val="1"/>
        </w:numPr>
        <w:rPr>
          <w:rFonts w:cstheme="minorHAnsi"/>
        </w:rPr>
      </w:pPr>
      <w:r w:rsidRPr="006E51D0">
        <w:rPr>
          <w:rFonts w:cstheme="minorHAnsi"/>
        </w:rPr>
        <w:t>What assessment activities will you be conducting during the next academic year?</w:t>
      </w:r>
    </w:p>
    <w:p w14:paraId="0EBDEE4F" w14:textId="77777777" w:rsidR="00760FF7" w:rsidRPr="006E51D0" w:rsidRDefault="00095BE5" w:rsidP="00DB28A8">
      <w:pPr>
        <w:ind w:left="720"/>
        <w:rPr>
          <w:rFonts w:cstheme="minorHAnsi"/>
        </w:rPr>
      </w:pPr>
      <w:r>
        <w:rPr>
          <w:rFonts w:cstheme="minorHAnsi"/>
        </w:rPr>
        <w:t>In the future academic year, we will concentrate assessment efforts on other MCJ learning goals, such as “produce”</w:t>
      </w:r>
      <w:r w:rsidR="00C5316F">
        <w:rPr>
          <w:rFonts w:cstheme="minorHAnsi"/>
        </w:rPr>
        <w:t xml:space="preserve"> (SLO 3.2, 3.2)</w:t>
      </w:r>
      <w:r>
        <w:rPr>
          <w:rFonts w:cstheme="minorHAnsi"/>
        </w:rPr>
        <w:t xml:space="preserve"> to assess learning o</w:t>
      </w:r>
      <w:r w:rsidR="004C3919">
        <w:rPr>
          <w:rFonts w:cstheme="minorHAnsi"/>
        </w:rPr>
        <w:t>utcomes in our newly developed c</w:t>
      </w:r>
      <w:r>
        <w:rPr>
          <w:rFonts w:cstheme="minorHAnsi"/>
        </w:rPr>
        <w:t>apstone courses</w:t>
      </w:r>
      <w:r w:rsidR="006D0CDF" w:rsidRPr="006E51D0">
        <w:rPr>
          <w:rFonts w:cstheme="minorHAnsi"/>
        </w:rPr>
        <w:t xml:space="preserve">. In addition, we </w:t>
      </w:r>
      <w:r w:rsidR="00DB28A8" w:rsidRPr="006E51D0">
        <w:rPr>
          <w:rFonts w:cstheme="minorHAnsi"/>
        </w:rPr>
        <w:t xml:space="preserve">will </w:t>
      </w:r>
      <w:r w:rsidR="006D0CDF" w:rsidRPr="006E51D0">
        <w:rPr>
          <w:rFonts w:cstheme="minorHAnsi"/>
        </w:rPr>
        <w:t>continue to utilize exit survey</w:t>
      </w:r>
      <w:r w:rsidR="00DB28A8" w:rsidRPr="006E51D0">
        <w:rPr>
          <w:rFonts w:cstheme="minorHAnsi"/>
        </w:rPr>
        <w:t>s to assess many elements of the</w:t>
      </w:r>
      <w:r w:rsidR="006D0CDF" w:rsidRPr="006E51D0">
        <w:rPr>
          <w:rFonts w:cstheme="minorHAnsi"/>
        </w:rPr>
        <w:t xml:space="preserve"> department </w:t>
      </w:r>
      <w:r w:rsidR="00DB28A8" w:rsidRPr="006E51D0">
        <w:rPr>
          <w:rFonts w:cstheme="minorHAnsi"/>
        </w:rPr>
        <w:t xml:space="preserve">and our program </w:t>
      </w:r>
      <w:r w:rsidR="006D0CDF" w:rsidRPr="006E51D0">
        <w:rPr>
          <w:rFonts w:cstheme="minorHAnsi"/>
        </w:rPr>
        <w:t xml:space="preserve">(e.g., coursework, career readiness, </w:t>
      </w:r>
      <w:r w:rsidR="00DB28A8" w:rsidRPr="006E51D0">
        <w:rPr>
          <w:rFonts w:cstheme="minorHAnsi"/>
        </w:rPr>
        <w:t>advising, etc.)</w:t>
      </w:r>
    </w:p>
    <w:p w14:paraId="276C15AE" w14:textId="77777777" w:rsidR="004727B2" w:rsidRDefault="004727B2" w:rsidP="004727B2">
      <w:pPr>
        <w:rPr>
          <w:rFonts w:cstheme="minorHAnsi"/>
        </w:rPr>
      </w:pPr>
    </w:p>
    <w:p w14:paraId="78888AE6" w14:textId="77777777" w:rsidR="00E87913" w:rsidRDefault="00E87913" w:rsidP="004727B2">
      <w:pPr>
        <w:rPr>
          <w:rFonts w:cstheme="minorHAnsi"/>
        </w:rPr>
      </w:pPr>
    </w:p>
    <w:p w14:paraId="29459FD4" w14:textId="77777777" w:rsidR="00E87913" w:rsidRDefault="00E87913" w:rsidP="004727B2">
      <w:pPr>
        <w:rPr>
          <w:rFonts w:cstheme="minorHAnsi"/>
        </w:rPr>
      </w:pPr>
    </w:p>
    <w:p w14:paraId="6F114EAC" w14:textId="77777777" w:rsidR="00E87913" w:rsidRDefault="00E87913" w:rsidP="004727B2">
      <w:pPr>
        <w:rPr>
          <w:rFonts w:cstheme="minorHAnsi"/>
        </w:rPr>
      </w:pPr>
    </w:p>
    <w:p w14:paraId="06040157" w14:textId="77777777" w:rsidR="00E87913" w:rsidRDefault="00E87913" w:rsidP="004727B2">
      <w:pPr>
        <w:rPr>
          <w:rFonts w:cstheme="minorHAnsi"/>
        </w:rPr>
      </w:pPr>
    </w:p>
    <w:p w14:paraId="62B42CF6" w14:textId="77777777" w:rsidR="00E87913" w:rsidRDefault="00E87913" w:rsidP="004727B2">
      <w:pPr>
        <w:rPr>
          <w:rFonts w:cstheme="minorHAnsi"/>
        </w:rPr>
      </w:pPr>
    </w:p>
    <w:p w14:paraId="352DC8B6" w14:textId="77777777" w:rsidR="00E87913" w:rsidRDefault="00E87913" w:rsidP="004727B2">
      <w:pPr>
        <w:rPr>
          <w:rFonts w:cstheme="minorHAnsi"/>
        </w:rPr>
      </w:pPr>
    </w:p>
    <w:p w14:paraId="3879C4CF" w14:textId="77777777" w:rsidR="00E87913" w:rsidRDefault="00E87913" w:rsidP="004727B2">
      <w:pPr>
        <w:rPr>
          <w:rFonts w:cstheme="minorHAnsi"/>
        </w:rPr>
      </w:pPr>
    </w:p>
    <w:p w14:paraId="3280191C" w14:textId="77777777" w:rsidR="00E87913" w:rsidRDefault="00E87913" w:rsidP="004727B2">
      <w:pPr>
        <w:rPr>
          <w:rFonts w:cstheme="minorHAnsi"/>
        </w:rPr>
      </w:pPr>
    </w:p>
    <w:p w14:paraId="77500DD4" w14:textId="77777777" w:rsidR="00E87913" w:rsidRDefault="00E87913" w:rsidP="004727B2">
      <w:pPr>
        <w:rPr>
          <w:rFonts w:cstheme="minorHAnsi"/>
        </w:rPr>
      </w:pPr>
    </w:p>
    <w:p w14:paraId="552F62DE" w14:textId="77777777" w:rsidR="00E87913" w:rsidRDefault="00E87913" w:rsidP="004727B2">
      <w:pPr>
        <w:rPr>
          <w:rFonts w:cstheme="minorHAnsi"/>
        </w:rPr>
      </w:pPr>
    </w:p>
    <w:p w14:paraId="15F0CB5F" w14:textId="77777777" w:rsidR="00E87913" w:rsidRPr="006E51D0" w:rsidRDefault="00E87913" w:rsidP="004727B2">
      <w:pPr>
        <w:rPr>
          <w:rFonts w:cstheme="minorHAnsi"/>
        </w:rPr>
      </w:pPr>
    </w:p>
    <w:p w14:paraId="51B6C47E" w14:textId="77777777" w:rsidR="004727B2" w:rsidRPr="006E51D0" w:rsidRDefault="004727B2" w:rsidP="004727B2">
      <w:pPr>
        <w:rPr>
          <w:rFonts w:cstheme="minorHAnsi"/>
        </w:rPr>
      </w:pPr>
    </w:p>
    <w:p w14:paraId="6B9CEC77" w14:textId="77777777" w:rsidR="004727B2" w:rsidRPr="006E51D0" w:rsidRDefault="004727B2" w:rsidP="004727B2">
      <w:pPr>
        <w:rPr>
          <w:rFonts w:cstheme="minorHAnsi"/>
        </w:rPr>
      </w:pPr>
    </w:p>
    <w:p w14:paraId="7E287123" w14:textId="77777777" w:rsidR="00902584" w:rsidRDefault="00902584" w:rsidP="004727B2">
      <w:pPr>
        <w:ind w:firstLine="720"/>
        <w:rPr>
          <w:rFonts w:cstheme="minorHAnsi"/>
        </w:rPr>
      </w:pPr>
    </w:p>
    <w:p w14:paraId="708938BC" w14:textId="77777777" w:rsidR="002A287B" w:rsidRDefault="002A287B" w:rsidP="008258A6">
      <w:pPr>
        <w:rPr>
          <w:rFonts w:cstheme="minorHAnsi"/>
        </w:rPr>
      </w:pPr>
    </w:p>
    <w:p w14:paraId="5B526939" w14:textId="77777777" w:rsidR="004C3919" w:rsidRDefault="004C3919" w:rsidP="008258A6">
      <w:pPr>
        <w:rPr>
          <w:rFonts w:cstheme="minorHAnsi"/>
        </w:rPr>
      </w:pPr>
    </w:p>
    <w:p w14:paraId="039BA353" w14:textId="77777777" w:rsidR="004C3919" w:rsidRDefault="004C3919" w:rsidP="008258A6">
      <w:pPr>
        <w:rPr>
          <w:rFonts w:cstheme="minorHAnsi"/>
        </w:rPr>
      </w:pPr>
    </w:p>
    <w:p w14:paraId="04D5650C" w14:textId="77777777" w:rsidR="004C3919" w:rsidRDefault="004C3919" w:rsidP="008258A6">
      <w:pPr>
        <w:rPr>
          <w:rFonts w:cstheme="minorHAnsi"/>
        </w:rPr>
      </w:pPr>
    </w:p>
    <w:p w14:paraId="09923230" w14:textId="77777777" w:rsidR="004C3919" w:rsidRDefault="004C3919" w:rsidP="008258A6">
      <w:pPr>
        <w:rPr>
          <w:rFonts w:cstheme="minorHAnsi"/>
        </w:rPr>
      </w:pPr>
    </w:p>
    <w:p w14:paraId="489C1116" w14:textId="77777777" w:rsidR="004C3919" w:rsidRDefault="004C3919" w:rsidP="008258A6">
      <w:pPr>
        <w:rPr>
          <w:rFonts w:cstheme="minorHAnsi"/>
        </w:rPr>
      </w:pPr>
    </w:p>
    <w:p w14:paraId="264854EE" w14:textId="77777777" w:rsidR="00C5316F" w:rsidRDefault="00C5316F" w:rsidP="008258A6">
      <w:pPr>
        <w:rPr>
          <w:rFonts w:cstheme="minorHAnsi"/>
        </w:rPr>
      </w:pPr>
    </w:p>
    <w:p w14:paraId="3FEF036E" w14:textId="77777777" w:rsidR="00C5316F" w:rsidRDefault="00C5316F" w:rsidP="008258A6">
      <w:pPr>
        <w:rPr>
          <w:rFonts w:cstheme="minorHAnsi"/>
        </w:rPr>
      </w:pPr>
    </w:p>
    <w:p w14:paraId="4F636C0D" w14:textId="77777777" w:rsidR="004C3919" w:rsidRDefault="004C3919" w:rsidP="008258A6">
      <w:pPr>
        <w:rPr>
          <w:rFonts w:cstheme="minorHAnsi"/>
        </w:rPr>
      </w:pPr>
    </w:p>
    <w:p w14:paraId="34350770" w14:textId="77777777" w:rsidR="004727B2" w:rsidRPr="006E51D0" w:rsidRDefault="004727B2" w:rsidP="004727B2">
      <w:pPr>
        <w:ind w:firstLine="720"/>
        <w:rPr>
          <w:rFonts w:cstheme="minorHAnsi"/>
        </w:rPr>
      </w:pPr>
    </w:p>
    <w:p w14:paraId="716B2FEC" w14:textId="77777777" w:rsidR="004727B2" w:rsidRDefault="004727B2" w:rsidP="004727B2">
      <w:pPr>
        <w:ind w:firstLine="720"/>
        <w:jc w:val="center"/>
        <w:rPr>
          <w:rFonts w:cstheme="minorHAnsi"/>
          <w:b/>
        </w:rPr>
      </w:pPr>
      <w:r w:rsidRPr="006E51D0">
        <w:rPr>
          <w:rFonts w:cstheme="minorHAnsi"/>
          <w:b/>
        </w:rPr>
        <w:t>APPENDIX</w:t>
      </w:r>
      <w:r w:rsidR="00F5067D" w:rsidRPr="006E51D0">
        <w:rPr>
          <w:rFonts w:cstheme="minorHAnsi"/>
          <w:b/>
        </w:rPr>
        <w:t xml:space="preserve"> A</w:t>
      </w:r>
    </w:p>
    <w:p w14:paraId="381A6194" w14:textId="77777777" w:rsidR="002A287B" w:rsidRDefault="00095BE5" w:rsidP="004727B2">
      <w:pPr>
        <w:ind w:firstLine="720"/>
        <w:jc w:val="center"/>
        <w:rPr>
          <w:rFonts w:cstheme="minorHAnsi"/>
          <w:b/>
        </w:rPr>
      </w:pPr>
      <w:r>
        <w:rPr>
          <w:rFonts w:cstheme="minorHAnsi"/>
          <w:b/>
        </w:rPr>
        <w:t>Rubric</w:t>
      </w:r>
    </w:p>
    <w:p w14:paraId="671E3385" w14:textId="77777777" w:rsidR="002A287B" w:rsidRDefault="002A287B" w:rsidP="004727B2">
      <w:pPr>
        <w:ind w:firstLine="720"/>
        <w:jc w:val="center"/>
        <w:rPr>
          <w:rFonts w:cstheme="minorHAnsi"/>
          <w:b/>
        </w:rPr>
      </w:pPr>
    </w:p>
    <w:p w14:paraId="0CAB5D78" w14:textId="77777777" w:rsidR="002A287B" w:rsidRPr="001F2ABE" w:rsidRDefault="008258A6" w:rsidP="00386213">
      <w:pPr>
        <w:rPr>
          <w:rFonts w:ascii="Helvetica" w:hAnsi="Helvetica" w:cs="Helvetica"/>
          <w:b/>
          <w:lang w:bidi="en-US"/>
        </w:rPr>
      </w:pPr>
      <w:r>
        <w:rPr>
          <w:rFonts w:cstheme="minorHAnsi"/>
          <w:b/>
        </w:rPr>
        <w:t>Writing A</w:t>
      </w:r>
      <w:r w:rsidR="002A287B">
        <w:rPr>
          <w:rFonts w:cstheme="minorHAnsi"/>
          <w:b/>
        </w:rPr>
        <w:t>ssignment Rubric</w:t>
      </w:r>
    </w:p>
    <w:p w14:paraId="252D8A81" w14:textId="77777777" w:rsidR="002A287B" w:rsidRPr="002A287B" w:rsidRDefault="00E87913" w:rsidP="00095BE5">
      <w:pPr>
        <w:widowControl w:val="0"/>
        <w:autoSpaceDE w:val="0"/>
        <w:autoSpaceDN w:val="0"/>
        <w:adjustRightInd w:val="0"/>
        <w:rPr>
          <w:rFonts w:cstheme="minorHAnsi"/>
          <w:bCs/>
          <w:iCs/>
          <w:color w:val="FF0000"/>
          <w:lang w:bidi="en-US"/>
        </w:rPr>
      </w:pPr>
      <w:r>
        <w:rPr>
          <w:rFonts w:cstheme="minorHAnsi"/>
          <w:bCs/>
          <w:iCs/>
          <w:lang w:bidi="en-US"/>
        </w:rPr>
        <w:t>Non-shaded item (1</w:t>
      </w:r>
      <w:r w:rsidRPr="00E87913">
        <w:rPr>
          <w:rFonts w:cstheme="minorHAnsi"/>
          <w:bCs/>
          <w:iCs/>
          <w:vertAlign w:val="superscript"/>
          <w:lang w:bidi="en-US"/>
        </w:rPr>
        <w:t>st</w:t>
      </w:r>
      <w:r>
        <w:rPr>
          <w:rFonts w:cstheme="minorHAnsi"/>
          <w:bCs/>
          <w:iCs/>
          <w:lang w:bidi="en-US"/>
        </w:rPr>
        <w:t xml:space="preserve"> item) is used to assess the</w:t>
      </w:r>
      <w:r w:rsidR="002A287B" w:rsidRPr="002A287B">
        <w:rPr>
          <w:rFonts w:cstheme="minorHAnsi"/>
          <w:bCs/>
          <w:iCs/>
          <w:lang w:bidi="en-US"/>
        </w:rPr>
        <w:t xml:space="preserve"> GE </w:t>
      </w:r>
      <w:r>
        <w:rPr>
          <w:rFonts w:cstheme="minorHAnsi"/>
          <w:bCs/>
          <w:iCs/>
          <w:lang w:bidi="en-US"/>
        </w:rPr>
        <w:t>learning outcome</w:t>
      </w:r>
      <w:r w:rsidR="002A287B" w:rsidRPr="002A287B">
        <w:rPr>
          <w:rFonts w:cstheme="minorHAnsi"/>
          <w:bCs/>
          <w:iCs/>
          <w:lang w:bidi="en-US"/>
        </w:rPr>
        <w:t>.</w:t>
      </w:r>
      <w:r w:rsidR="00095BE5">
        <w:rPr>
          <w:rFonts w:cstheme="minorHAnsi"/>
          <w:bCs/>
          <w:iCs/>
          <w:lang w:bidi="en-US"/>
        </w:rPr>
        <w:t xml:space="preserve"> </w:t>
      </w:r>
      <w:r>
        <w:rPr>
          <w:rFonts w:cstheme="minorHAnsi"/>
          <w:bCs/>
          <w:iCs/>
          <w:lang w:bidi="en-US"/>
        </w:rPr>
        <w:t>The remaining items (shaded in light gray) were used to assess</w:t>
      </w:r>
      <w:r w:rsidR="00095BE5">
        <w:rPr>
          <w:rFonts w:cstheme="minorHAnsi"/>
          <w:bCs/>
          <w:iCs/>
          <w:lang w:bidi="en-US"/>
        </w:rPr>
        <w:t xml:space="preserve"> MCJ SLOs.</w:t>
      </w:r>
    </w:p>
    <w:p w14:paraId="5F273C65" w14:textId="77777777" w:rsidR="002A287B" w:rsidRPr="009F3B00" w:rsidRDefault="002A287B" w:rsidP="002A287B">
      <w:pPr>
        <w:widowControl w:val="0"/>
        <w:autoSpaceDE w:val="0"/>
        <w:autoSpaceDN w:val="0"/>
        <w:adjustRightInd w:val="0"/>
        <w:jc w:val="center"/>
        <w:rPr>
          <w:rFonts w:ascii="Helvetica" w:hAnsi="Helvetica" w:cs="Helvetica"/>
          <w:color w:val="FF0000"/>
          <w:lang w:bidi="en-US"/>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2457"/>
        <w:gridCol w:w="2457"/>
        <w:gridCol w:w="2457"/>
      </w:tblGrid>
      <w:tr w:rsidR="002A287B" w:rsidRPr="009F3B00" w14:paraId="550F5C9B" w14:textId="77777777" w:rsidTr="000F487F">
        <w:tc>
          <w:tcPr>
            <w:tcW w:w="2457" w:type="dxa"/>
            <w:shd w:val="clear" w:color="auto" w:fill="auto"/>
          </w:tcPr>
          <w:p w14:paraId="7F44DE1B" w14:textId="77777777" w:rsidR="007A0746" w:rsidRPr="006E51D0" w:rsidRDefault="002A287B" w:rsidP="007A0746">
            <w:pPr>
              <w:spacing w:after="0" w:line="240" w:lineRule="auto"/>
              <w:rPr>
                <w:rFonts w:cstheme="minorHAnsi"/>
              </w:rPr>
            </w:pPr>
            <w:r w:rsidRPr="001F5A96">
              <w:rPr>
                <w:rFonts w:cs="Calibri"/>
                <w:b/>
                <w:bCs/>
                <w:i/>
                <w:sz w:val="19"/>
                <w:szCs w:val="19"/>
              </w:rPr>
              <w:t xml:space="preserve">Critical reflection on broadcast </w:t>
            </w:r>
            <w:r>
              <w:rPr>
                <w:rFonts w:cs="Calibri"/>
                <w:b/>
                <w:bCs/>
                <w:i/>
                <w:sz w:val="19"/>
                <w:szCs w:val="19"/>
              </w:rPr>
              <w:t>a</w:t>
            </w:r>
            <w:r w:rsidR="007A0746">
              <w:rPr>
                <w:rFonts w:cs="Calibri"/>
                <w:b/>
                <w:bCs/>
                <w:i/>
                <w:sz w:val="19"/>
                <w:szCs w:val="19"/>
              </w:rPr>
              <w:t>nd streaming television (GE SLO 3</w:t>
            </w:r>
            <w:r>
              <w:rPr>
                <w:rFonts w:cs="Calibri"/>
                <w:b/>
                <w:bCs/>
                <w:i/>
                <w:sz w:val="19"/>
                <w:szCs w:val="19"/>
              </w:rPr>
              <w:t xml:space="preserve">) </w:t>
            </w:r>
            <w:r w:rsidRPr="001F5A96">
              <w:rPr>
                <w:rFonts w:cs="Calibri"/>
                <w:b/>
                <w:bCs/>
                <w:i/>
                <w:sz w:val="19"/>
                <w:szCs w:val="19"/>
              </w:rPr>
              <w:t xml:space="preserve">– </w:t>
            </w:r>
            <w:r w:rsidR="007A0746" w:rsidRPr="007A0746">
              <w:rPr>
                <w:rFonts w:cstheme="minorHAnsi"/>
                <w:i/>
                <w:sz w:val="18"/>
              </w:rPr>
              <w:t>Discuss the influence of major social, cultural, economic, and political forces on human behavior and institutions.</w:t>
            </w:r>
          </w:p>
          <w:p w14:paraId="1009B5D6" w14:textId="77777777" w:rsidR="002A287B" w:rsidRPr="00827E5B" w:rsidRDefault="002A287B" w:rsidP="000F487F">
            <w:pPr>
              <w:rPr>
                <w:rFonts w:cs="Calibri"/>
                <w:b/>
                <w:bCs/>
                <w:i/>
                <w:sz w:val="19"/>
                <w:szCs w:val="19"/>
              </w:rPr>
            </w:pPr>
          </w:p>
        </w:tc>
        <w:tc>
          <w:tcPr>
            <w:tcW w:w="2457" w:type="dxa"/>
            <w:shd w:val="clear" w:color="auto" w:fill="auto"/>
          </w:tcPr>
          <w:p w14:paraId="5F918850" w14:textId="77777777" w:rsidR="002A287B" w:rsidRPr="001F2ABE" w:rsidRDefault="002A287B" w:rsidP="000F487F">
            <w:pPr>
              <w:rPr>
                <w:rFonts w:cs="Calibri"/>
                <w:b/>
                <w:sz w:val="19"/>
                <w:szCs w:val="19"/>
              </w:rPr>
            </w:pPr>
            <w:r w:rsidRPr="001F5A96">
              <w:rPr>
                <w:rFonts w:cs="Calibri"/>
                <w:b/>
                <w:sz w:val="19"/>
                <w:szCs w:val="19"/>
              </w:rPr>
              <w:t>Superior (20 to &gt;16 pts)</w:t>
            </w:r>
            <w:r>
              <w:rPr>
                <w:rFonts w:cs="Calibri"/>
                <w:b/>
                <w:sz w:val="19"/>
                <w:szCs w:val="19"/>
              </w:rPr>
              <w:t xml:space="preserve"> </w:t>
            </w:r>
            <w:r w:rsidR="007A0746">
              <w:rPr>
                <w:rFonts w:cs="Calibri"/>
                <w:sz w:val="19"/>
                <w:szCs w:val="19"/>
              </w:rPr>
              <w:t xml:space="preserve">Critically explains how </w:t>
            </w:r>
            <w:r w:rsidRPr="001F5A96">
              <w:rPr>
                <w:rFonts w:cs="Calibri"/>
                <w:sz w:val="19"/>
                <w:szCs w:val="19"/>
              </w:rPr>
              <w:t>televis</w:t>
            </w:r>
            <w:r w:rsidR="007A0746">
              <w:rPr>
                <w:rFonts w:cs="Calibri"/>
                <w:sz w:val="19"/>
                <w:szCs w:val="19"/>
              </w:rPr>
              <w:t>ion is considered a social influence</w:t>
            </w:r>
            <w:r w:rsidRPr="001F5A96">
              <w:rPr>
                <w:rFonts w:cs="Calibri"/>
                <w:sz w:val="19"/>
                <w:szCs w:val="19"/>
              </w:rPr>
              <w:t>.</w:t>
            </w:r>
          </w:p>
        </w:tc>
        <w:tc>
          <w:tcPr>
            <w:tcW w:w="2457" w:type="dxa"/>
            <w:shd w:val="clear" w:color="auto" w:fill="auto"/>
          </w:tcPr>
          <w:p w14:paraId="6D276064" w14:textId="77777777" w:rsidR="002A287B" w:rsidRDefault="002A287B" w:rsidP="000F487F">
            <w:pPr>
              <w:rPr>
                <w:rFonts w:cs="Calibri"/>
                <w:b/>
                <w:sz w:val="19"/>
                <w:szCs w:val="19"/>
              </w:rPr>
            </w:pPr>
            <w:r w:rsidRPr="001F5A96">
              <w:rPr>
                <w:rFonts w:cs="Calibri"/>
                <w:b/>
                <w:sz w:val="19"/>
                <w:szCs w:val="19"/>
              </w:rPr>
              <w:t xml:space="preserve">Commendable </w:t>
            </w:r>
          </w:p>
          <w:p w14:paraId="1AA9DBC9" w14:textId="77777777" w:rsidR="002A287B" w:rsidRDefault="002A287B" w:rsidP="000F487F">
            <w:pPr>
              <w:rPr>
                <w:rFonts w:cs="Calibri"/>
                <w:b/>
                <w:sz w:val="19"/>
                <w:szCs w:val="19"/>
              </w:rPr>
            </w:pPr>
            <w:r w:rsidRPr="001F5A96">
              <w:rPr>
                <w:rFonts w:cs="Calibri"/>
                <w:b/>
                <w:sz w:val="19"/>
                <w:szCs w:val="19"/>
              </w:rPr>
              <w:t>(16 to &gt;12 pts)</w:t>
            </w:r>
            <w:r>
              <w:rPr>
                <w:rFonts w:cs="Calibri"/>
                <w:b/>
                <w:sz w:val="19"/>
                <w:szCs w:val="19"/>
              </w:rPr>
              <w:t xml:space="preserve"> </w:t>
            </w:r>
          </w:p>
          <w:p w14:paraId="01616073" w14:textId="77777777" w:rsidR="002A287B" w:rsidRDefault="002A287B" w:rsidP="000F487F">
            <w:pPr>
              <w:rPr>
                <w:rFonts w:cs="Calibri"/>
                <w:sz w:val="19"/>
                <w:szCs w:val="19"/>
              </w:rPr>
            </w:pPr>
            <w:r w:rsidRPr="001F5A96">
              <w:rPr>
                <w:rFonts w:cs="Calibri"/>
                <w:sz w:val="19"/>
                <w:szCs w:val="19"/>
              </w:rPr>
              <w:t xml:space="preserve">Critically explains why </w:t>
            </w:r>
            <w:r>
              <w:rPr>
                <w:rFonts w:cs="Calibri"/>
                <w:sz w:val="19"/>
                <w:szCs w:val="19"/>
              </w:rPr>
              <w:t>t</w:t>
            </w:r>
            <w:r w:rsidRPr="001F5A96">
              <w:rPr>
                <w:rFonts w:cs="Calibri"/>
                <w:sz w:val="19"/>
                <w:szCs w:val="19"/>
              </w:rPr>
              <w:t xml:space="preserve">elevision is considered a social </w:t>
            </w:r>
            <w:proofErr w:type="gramStart"/>
            <w:r w:rsidRPr="001F5A96">
              <w:rPr>
                <w:rFonts w:cs="Calibri"/>
                <w:sz w:val="19"/>
                <w:szCs w:val="19"/>
              </w:rPr>
              <w:t>force, but</w:t>
            </w:r>
            <w:proofErr w:type="gramEnd"/>
            <w:r w:rsidRPr="001F5A96">
              <w:rPr>
                <w:rFonts w:cs="Calibri"/>
                <w:sz w:val="19"/>
                <w:szCs w:val="19"/>
              </w:rPr>
              <w:t xml:space="preserve"> is simplistic in expression and somewhat vague.</w:t>
            </w:r>
          </w:p>
          <w:p w14:paraId="0FBDD89F" w14:textId="77777777" w:rsidR="002A287B" w:rsidRPr="001F2ABE" w:rsidRDefault="002A287B" w:rsidP="000F487F">
            <w:pPr>
              <w:rPr>
                <w:rFonts w:cs="Calibri"/>
                <w:b/>
                <w:sz w:val="19"/>
                <w:szCs w:val="19"/>
              </w:rPr>
            </w:pPr>
          </w:p>
        </w:tc>
        <w:tc>
          <w:tcPr>
            <w:tcW w:w="2457" w:type="dxa"/>
            <w:shd w:val="clear" w:color="auto" w:fill="auto"/>
          </w:tcPr>
          <w:p w14:paraId="012C1220" w14:textId="77777777" w:rsidR="002A287B" w:rsidRPr="001F5A96" w:rsidRDefault="002A287B" w:rsidP="000F487F">
            <w:pPr>
              <w:rPr>
                <w:rFonts w:cs="Calibri"/>
                <w:b/>
                <w:sz w:val="19"/>
                <w:szCs w:val="19"/>
              </w:rPr>
            </w:pPr>
            <w:r w:rsidRPr="001F5A96">
              <w:rPr>
                <w:rFonts w:cs="Calibri"/>
                <w:b/>
                <w:sz w:val="19"/>
                <w:szCs w:val="19"/>
              </w:rPr>
              <w:t>Needs Improvement</w:t>
            </w:r>
          </w:p>
          <w:p w14:paraId="12C003BF" w14:textId="77777777" w:rsidR="002A287B" w:rsidRDefault="002A287B" w:rsidP="000F487F">
            <w:pPr>
              <w:rPr>
                <w:rFonts w:cs="Calibri"/>
                <w:b/>
                <w:sz w:val="19"/>
                <w:szCs w:val="19"/>
              </w:rPr>
            </w:pPr>
            <w:r w:rsidRPr="001F5A96">
              <w:rPr>
                <w:rFonts w:cs="Calibri"/>
                <w:b/>
                <w:sz w:val="19"/>
                <w:szCs w:val="19"/>
              </w:rPr>
              <w:t>(12 to &gt;0 pts)</w:t>
            </w:r>
          </w:p>
          <w:p w14:paraId="6B5C755D" w14:textId="77777777" w:rsidR="002A287B" w:rsidRPr="001F2ABE" w:rsidRDefault="002A287B" w:rsidP="000F487F">
            <w:pPr>
              <w:rPr>
                <w:rFonts w:cs="Calibri"/>
                <w:b/>
                <w:sz w:val="19"/>
                <w:szCs w:val="19"/>
              </w:rPr>
            </w:pPr>
            <w:r w:rsidRPr="001F5A96">
              <w:rPr>
                <w:rFonts w:cs="Calibri"/>
                <w:sz w:val="19"/>
                <w:szCs w:val="19"/>
              </w:rPr>
              <w:t>Missing or fails to explain why</w:t>
            </w:r>
            <w:r>
              <w:rPr>
                <w:rFonts w:cs="Calibri"/>
                <w:sz w:val="19"/>
                <w:szCs w:val="19"/>
              </w:rPr>
              <w:t xml:space="preserve"> </w:t>
            </w:r>
            <w:r w:rsidRPr="001F5A96">
              <w:rPr>
                <w:rFonts w:cs="Calibri"/>
                <w:sz w:val="19"/>
                <w:szCs w:val="19"/>
              </w:rPr>
              <w:t>television is considered a social force.</w:t>
            </w:r>
          </w:p>
        </w:tc>
      </w:tr>
      <w:tr w:rsidR="002A287B" w:rsidRPr="009F3B00" w14:paraId="4E315CB2" w14:textId="77777777" w:rsidTr="007A0746">
        <w:trPr>
          <w:trHeight w:val="5300"/>
        </w:trPr>
        <w:tc>
          <w:tcPr>
            <w:tcW w:w="2457" w:type="dxa"/>
            <w:tcBorders>
              <w:bottom w:val="single" w:sz="4" w:space="0" w:color="auto"/>
            </w:tcBorders>
            <w:shd w:val="clear" w:color="auto" w:fill="F2F2F2" w:themeFill="background1" w:themeFillShade="F2"/>
          </w:tcPr>
          <w:p w14:paraId="49608ED5" w14:textId="77777777" w:rsidR="002A287B" w:rsidRPr="001F2ABE" w:rsidRDefault="002A287B" w:rsidP="000F487F">
            <w:pPr>
              <w:rPr>
                <w:rFonts w:cs="Calibri"/>
                <w:i/>
                <w:sz w:val="19"/>
                <w:szCs w:val="19"/>
              </w:rPr>
            </w:pPr>
            <w:r w:rsidRPr="001F2ABE">
              <w:rPr>
                <w:rFonts w:cs="Calibri"/>
                <w:b/>
                <w:bCs/>
                <w:i/>
                <w:sz w:val="19"/>
                <w:szCs w:val="19"/>
              </w:rPr>
              <w:t>Theoretical Framework</w:t>
            </w:r>
            <w:r>
              <w:rPr>
                <w:rFonts w:cs="Calibri"/>
                <w:b/>
                <w:bCs/>
                <w:i/>
                <w:sz w:val="19"/>
                <w:szCs w:val="19"/>
              </w:rPr>
              <w:t xml:space="preserve"> (SLO 1.3) </w:t>
            </w:r>
            <w:r w:rsidRPr="001F2ABE">
              <w:rPr>
                <w:rFonts w:cs="Calibri"/>
                <w:b/>
                <w:bCs/>
                <w:i/>
                <w:sz w:val="19"/>
                <w:szCs w:val="19"/>
              </w:rPr>
              <w:t>–</w:t>
            </w:r>
            <w:r w:rsidRPr="001F2ABE">
              <w:rPr>
                <w:rFonts w:cs="Calibri"/>
                <w:i/>
                <w:sz w:val="19"/>
                <w:szCs w:val="19"/>
              </w:rPr>
              <w:t xml:space="preserve"> Use cultivation theory (CT) or social learning theory (SLT) as a framework to explain ways broadcast and streaming television's influence might be powerful AND limited. Provide one specific example of each. Apply relevant terminology and provide all necessary definitions. Provide evidence of familiarity with the central assumptions of CT or SLT.</w:t>
            </w:r>
          </w:p>
        </w:tc>
        <w:tc>
          <w:tcPr>
            <w:tcW w:w="2457" w:type="dxa"/>
            <w:tcBorders>
              <w:bottom w:val="single" w:sz="4" w:space="0" w:color="auto"/>
            </w:tcBorders>
            <w:shd w:val="clear" w:color="auto" w:fill="F2F2F2" w:themeFill="background1" w:themeFillShade="F2"/>
          </w:tcPr>
          <w:p w14:paraId="18546A22" w14:textId="77777777" w:rsidR="002A287B" w:rsidRPr="001F2ABE" w:rsidRDefault="002A287B" w:rsidP="000F487F">
            <w:pPr>
              <w:rPr>
                <w:rFonts w:cs="Calibri"/>
                <w:sz w:val="19"/>
                <w:szCs w:val="19"/>
              </w:rPr>
            </w:pPr>
            <w:r w:rsidRPr="001F2ABE">
              <w:rPr>
                <w:rFonts w:cs="Calibri"/>
                <w:b/>
                <w:sz w:val="19"/>
                <w:szCs w:val="19"/>
              </w:rPr>
              <w:t xml:space="preserve">Superior (20 to &gt;16 pts) </w:t>
            </w:r>
            <w:r w:rsidRPr="001F2ABE">
              <w:rPr>
                <w:rFonts w:cs="Calibri"/>
                <w:sz w:val="19"/>
                <w:szCs w:val="19"/>
              </w:rPr>
              <w:t>Sufficiently and effectively uses cultivation theory (CT) or social learning theory (SLT) as a framework to explain ways broadcast and streaming television's influence might be powerful AND limited. Provides one specific example of each. Applies relevant terminology and provides all necessary definitions. Provides evidence of familiarity with the central assumptions of CT or SLT.</w:t>
            </w:r>
          </w:p>
        </w:tc>
        <w:tc>
          <w:tcPr>
            <w:tcW w:w="2457" w:type="dxa"/>
            <w:tcBorders>
              <w:bottom w:val="single" w:sz="4" w:space="0" w:color="auto"/>
            </w:tcBorders>
            <w:shd w:val="clear" w:color="auto" w:fill="F2F2F2" w:themeFill="background1" w:themeFillShade="F2"/>
          </w:tcPr>
          <w:p w14:paraId="79784B47" w14:textId="77777777" w:rsidR="002A287B" w:rsidRDefault="002A287B" w:rsidP="000F487F">
            <w:pPr>
              <w:rPr>
                <w:rFonts w:cs="Calibri"/>
                <w:b/>
                <w:sz w:val="19"/>
                <w:szCs w:val="19"/>
              </w:rPr>
            </w:pPr>
            <w:r w:rsidRPr="001F2ABE">
              <w:rPr>
                <w:rFonts w:cs="Calibri"/>
                <w:b/>
                <w:sz w:val="19"/>
                <w:szCs w:val="19"/>
              </w:rPr>
              <w:t xml:space="preserve">Commendable </w:t>
            </w:r>
          </w:p>
          <w:p w14:paraId="16ECD416" w14:textId="77777777" w:rsidR="002A287B" w:rsidRDefault="002A287B" w:rsidP="000F487F">
            <w:pPr>
              <w:rPr>
                <w:rFonts w:cs="Calibri"/>
                <w:sz w:val="19"/>
                <w:szCs w:val="19"/>
              </w:rPr>
            </w:pPr>
            <w:r w:rsidRPr="001F2ABE">
              <w:rPr>
                <w:rFonts w:cs="Calibri"/>
                <w:b/>
                <w:sz w:val="19"/>
                <w:szCs w:val="19"/>
              </w:rPr>
              <w:t>(16 to &gt;12 pts)</w:t>
            </w:r>
            <w:r w:rsidRPr="001F2ABE">
              <w:rPr>
                <w:rFonts w:cs="Calibri"/>
                <w:sz w:val="19"/>
                <w:szCs w:val="19"/>
              </w:rPr>
              <w:t xml:space="preserve"> Uses cultivation theory (CT) or social learning theory (SLT) as a framework to explain ways broadcast and streaming television's influence might be powerful AND limited. Provides one specific example of each. However, is simplistic in expression and somewhat vague. Applies some relevant terminology and provides some necessary definitions. Provides minimal evidence of familiarity with the central assumptions of CT or SLT.</w:t>
            </w:r>
          </w:p>
          <w:p w14:paraId="16911C0C" w14:textId="77777777" w:rsidR="002A287B" w:rsidRPr="001F2ABE" w:rsidRDefault="002A287B" w:rsidP="000F487F">
            <w:pPr>
              <w:rPr>
                <w:rFonts w:cs="Calibri"/>
                <w:sz w:val="19"/>
                <w:szCs w:val="19"/>
              </w:rPr>
            </w:pPr>
          </w:p>
        </w:tc>
        <w:tc>
          <w:tcPr>
            <w:tcW w:w="2457" w:type="dxa"/>
            <w:tcBorders>
              <w:bottom w:val="single" w:sz="4" w:space="0" w:color="auto"/>
            </w:tcBorders>
            <w:shd w:val="clear" w:color="auto" w:fill="F2F2F2" w:themeFill="background1" w:themeFillShade="F2"/>
          </w:tcPr>
          <w:p w14:paraId="57EDB9D8" w14:textId="77777777" w:rsidR="002A287B" w:rsidRPr="001F2ABE" w:rsidRDefault="002A287B" w:rsidP="000F487F">
            <w:pPr>
              <w:rPr>
                <w:rFonts w:cs="Calibri"/>
                <w:b/>
                <w:sz w:val="19"/>
                <w:szCs w:val="19"/>
              </w:rPr>
            </w:pPr>
            <w:r w:rsidRPr="001F2ABE">
              <w:rPr>
                <w:rFonts w:cs="Calibri"/>
                <w:b/>
                <w:sz w:val="19"/>
                <w:szCs w:val="19"/>
              </w:rPr>
              <w:t>Needs Improvement</w:t>
            </w:r>
          </w:p>
          <w:p w14:paraId="55FF8A3B" w14:textId="77777777" w:rsidR="002A287B" w:rsidRPr="001F2ABE" w:rsidRDefault="002A287B" w:rsidP="000F487F">
            <w:pPr>
              <w:rPr>
                <w:rFonts w:cs="Calibri"/>
                <w:b/>
                <w:sz w:val="19"/>
                <w:szCs w:val="19"/>
              </w:rPr>
            </w:pPr>
            <w:r w:rsidRPr="001F2ABE">
              <w:rPr>
                <w:rFonts w:cs="Calibri"/>
                <w:b/>
                <w:sz w:val="19"/>
                <w:szCs w:val="19"/>
              </w:rPr>
              <w:t>(12 to &gt;0 pts)</w:t>
            </w:r>
          </w:p>
          <w:p w14:paraId="4766CF73" w14:textId="77777777" w:rsidR="002A287B" w:rsidRPr="001F2ABE" w:rsidRDefault="002A287B" w:rsidP="000F487F">
            <w:pPr>
              <w:rPr>
                <w:rFonts w:cs="Calibri"/>
                <w:sz w:val="19"/>
                <w:szCs w:val="19"/>
              </w:rPr>
            </w:pPr>
            <w:r w:rsidRPr="001F2ABE">
              <w:rPr>
                <w:rFonts w:cs="Calibri"/>
                <w:sz w:val="19"/>
                <w:szCs w:val="19"/>
              </w:rPr>
              <w:t>Missing or fails to use cultivation theory (CT) or social learning theory (SLT) as a framework to explain ways broadcast and streaming television's influence might be powerful AND limited. Does not provide one specific example of each. Does not apply relevant terminology or provide necessary definitions. Familiarity with the central assumptions of CT or SLT is not evident.</w:t>
            </w:r>
          </w:p>
        </w:tc>
      </w:tr>
      <w:tr w:rsidR="002A287B" w:rsidRPr="009F3B00" w14:paraId="5D9AEA06" w14:textId="77777777" w:rsidTr="002A287B">
        <w:trPr>
          <w:trHeight w:val="2861"/>
        </w:trPr>
        <w:tc>
          <w:tcPr>
            <w:tcW w:w="2457" w:type="dxa"/>
            <w:shd w:val="clear" w:color="auto" w:fill="F2F2F2"/>
          </w:tcPr>
          <w:p w14:paraId="56BE0469" w14:textId="77777777" w:rsidR="002A287B" w:rsidRDefault="002A287B" w:rsidP="000F487F">
            <w:pPr>
              <w:rPr>
                <w:b/>
                <w:bCs/>
                <w:i/>
                <w:sz w:val="19"/>
                <w:szCs w:val="19"/>
              </w:rPr>
            </w:pPr>
            <w:r w:rsidRPr="009A0BB1">
              <w:rPr>
                <w:b/>
                <w:bCs/>
                <w:i/>
                <w:sz w:val="19"/>
                <w:szCs w:val="19"/>
              </w:rPr>
              <w:lastRenderedPageBreak/>
              <w:t xml:space="preserve">Quality of Writing </w:t>
            </w:r>
          </w:p>
          <w:p w14:paraId="52BC11A0" w14:textId="77777777" w:rsidR="002A287B" w:rsidRPr="009A0BB1" w:rsidRDefault="002A287B" w:rsidP="000F487F">
            <w:pPr>
              <w:rPr>
                <w:sz w:val="19"/>
                <w:szCs w:val="19"/>
              </w:rPr>
            </w:pPr>
            <w:r w:rsidRPr="009A0BB1">
              <w:rPr>
                <w:b/>
                <w:bCs/>
                <w:i/>
                <w:sz w:val="19"/>
                <w:szCs w:val="19"/>
              </w:rPr>
              <w:t>(SLO 2.1) –</w:t>
            </w:r>
            <w:r w:rsidRPr="009A0BB1">
              <w:rPr>
                <w:sz w:val="19"/>
                <w:szCs w:val="19"/>
              </w:rPr>
              <w:t xml:space="preserve"> </w:t>
            </w:r>
            <w:r w:rsidRPr="009A0BB1">
              <w:rPr>
                <w:i/>
                <w:sz w:val="19"/>
                <w:szCs w:val="19"/>
              </w:rPr>
              <w:t>Demonstrate correct grammar and mechanics (including spelling and punctuation).</w:t>
            </w:r>
          </w:p>
        </w:tc>
        <w:tc>
          <w:tcPr>
            <w:tcW w:w="2457" w:type="dxa"/>
            <w:shd w:val="clear" w:color="auto" w:fill="F2F2F2"/>
          </w:tcPr>
          <w:p w14:paraId="13FD0D08" w14:textId="77777777" w:rsidR="002A287B" w:rsidRPr="001F2ABE" w:rsidRDefault="002A287B" w:rsidP="000F487F">
            <w:pPr>
              <w:rPr>
                <w:rFonts w:cs="Calibri"/>
                <w:b/>
                <w:bCs/>
                <w:sz w:val="19"/>
                <w:szCs w:val="19"/>
              </w:rPr>
            </w:pPr>
            <w:r w:rsidRPr="001F2ABE">
              <w:rPr>
                <w:rFonts w:cs="Calibri"/>
                <w:b/>
                <w:bCs/>
                <w:sz w:val="19"/>
                <w:szCs w:val="19"/>
              </w:rPr>
              <w:t>Superior (10 to &gt;8 pts)</w:t>
            </w:r>
          </w:p>
          <w:p w14:paraId="6DE9A094" w14:textId="77777777" w:rsidR="002A287B" w:rsidRPr="001F2ABE" w:rsidRDefault="002A287B" w:rsidP="000F487F">
            <w:pPr>
              <w:rPr>
                <w:rFonts w:cs="Calibri"/>
                <w:sz w:val="19"/>
                <w:szCs w:val="19"/>
              </w:rPr>
            </w:pPr>
            <w:r w:rsidRPr="001F2ABE">
              <w:rPr>
                <w:rFonts w:cs="Calibri"/>
                <w:bCs/>
                <w:sz w:val="19"/>
                <w:szCs w:val="19"/>
              </w:rPr>
              <w:t>Uses words, syntax, and the rules of grammar in a sophisticated manner with no errors or few errors in mechanics; clear and pleasant writing style.</w:t>
            </w:r>
          </w:p>
        </w:tc>
        <w:tc>
          <w:tcPr>
            <w:tcW w:w="2457" w:type="dxa"/>
            <w:shd w:val="clear" w:color="auto" w:fill="F2F2F2"/>
          </w:tcPr>
          <w:p w14:paraId="36C24235" w14:textId="77777777" w:rsidR="002A287B" w:rsidRPr="001F2ABE" w:rsidRDefault="002A287B" w:rsidP="000F487F">
            <w:pPr>
              <w:rPr>
                <w:rFonts w:cs="Calibri"/>
                <w:sz w:val="19"/>
                <w:szCs w:val="19"/>
              </w:rPr>
            </w:pPr>
            <w:r w:rsidRPr="001F2ABE">
              <w:rPr>
                <w:rFonts w:cs="Calibri"/>
                <w:b/>
                <w:sz w:val="19"/>
                <w:szCs w:val="19"/>
              </w:rPr>
              <w:t>Commendable (8 to &gt;6 pts)</w:t>
            </w:r>
            <w:r w:rsidRPr="001F2ABE">
              <w:rPr>
                <w:rFonts w:cs="Calibri"/>
                <w:bCs/>
                <w:sz w:val="19"/>
                <w:szCs w:val="19"/>
              </w:rPr>
              <w:t xml:space="preserve"> Uses words in a clear though sometimes simple fashion, with some errors in grammar and mechanics; writing style is cumbersome and awkward at times.</w:t>
            </w:r>
          </w:p>
        </w:tc>
        <w:tc>
          <w:tcPr>
            <w:tcW w:w="2457" w:type="dxa"/>
            <w:shd w:val="clear" w:color="auto" w:fill="F2F2F2"/>
          </w:tcPr>
          <w:p w14:paraId="5572A938" w14:textId="77777777" w:rsidR="002A287B" w:rsidRPr="001F2ABE" w:rsidRDefault="002A287B" w:rsidP="000F487F">
            <w:pPr>
              <w:rPr>
                <w:rFonts w:cs="Calibri"/>
                <w:b/>
                <w:bCs/>
                <w:sz w:val="19"/>
                <w:szCs w:val="19"/>
              </w:rPr>
            </w:pPr>
            <w:r w:rsidRPr="001F2ABE">
              <w:rPr>
                <w:rFonts w:cs="Calibri"/>
                <w:b/>
                <w:bCs/>
                <w:sz w:val="19"/>
                <w:szCs w:val="19"/>
              </w:rPr>
              <w:t>Needs Improvement</w:t>
            </w:r>
          </w:p>
          <w:p w14:paraId="2AD2AB80" w14:textId="77777777" w:rsidR="002A287B" w:rsidRPr="001F2ABE" w:rsidRDefault="002A287B" w:rsidP="000F487F">
            <w:pPr>
              <w:rPr>
                <w:rFonts w:cs="Calibri"/>
                <w:bCs/>
                <w:sz w:val="19"/>
                <w:szCs w:val="19"/>
              </w:rPr>
            </w:pPr>
            <w:r w:rsidRPr="001F2ABE">
              <w:rPr>
                <w:rFonts w:cs="Calibri"/>
                <w:b/>
                <w:bCs/>
                <w:sz w:val="19"/>
                <w:szCs w:val="19"/>
              </w:rPr>
              <w:t>(6 to &gt;0 pts)</w:t>
            </w:r>
            <w:r w:rsidRPr="001F2ABE">
              <w:rPr>
                <w:rFonts w:cs="Calibri"/>
                <w:bCs/>
                <w:sz w:val="19"/>
                <w:szCs w:val="19"/>
              </w:rPr>
              <w:t xml:space="preserve"> </w:t>
            </w:r>
          </w:p>
          <w:p w14:paraId="6F0A2563" w14:textId="77777777" w:rsidR="002A287B" w:rsidRDefault="002A287B" w:rsidP="000F487F">
            <w:pPr>
              <w:rPr>
                <w:rFonts w:cs="Calibri"/>
                <w:bCs/>
                <w:sz w:val="19"/>
                <w:szCs w:val="19"/>
              </w:rPr>
            </w:pPr>
            <w:r w:rsidRPr="001F2ABE">
              <w:rPr>
                <w:rFonts w:cs="Calibri"/>
                <w:bCs/>
                <w:sz w:val="19"/>
                <w:szCs w:val="19"/>
              </w:rPr>
              <w:t>Contains extensive errors in grammar and/or mechanics that obscures the author's meaning and makes it difficult for the reader to understand the author's intended meaning.</w:t>
            </w:r>
          </w:p>
          <w:p w14:paraId="734949A3" w14:textId="77777777" w:rsidR="002A287B" w:rsidRPr="001F2ABE" w:rsidRDefault="002A287B" w:rsidP="000F487F">
            <w:pPr>
              <w:rPr>
                <w:rFonts w:cs="Calibri"/>
                <w:sz w:val="19"/>
                <w:szCs w:val="19"/>
              </w:rPr>
            </w:pPr>
          </w:p>
        </w:tc>
      </w:tr>
      <w:tr w:rsidR="002A287B" w:rsidRPr="009F3B00" w14:paraId="6E467CA6" w14:textId="77777777" w:rsidTr="002A287B">
        <w:trPr>
          <w:trHeight w:val="890"/>
        </w:trPr>
        <w:tc>
          <w:tcPr>
            <w:tcW w:w="2457" w:type="dxa"/>
            <w:shd w:val="clear" w:color="auto" w:fill="F2F2F2"/>
          </w:tcPr>
          <w:p w14:paraId="1B10D31B" w14:textId="77777777" w:rsidR="002A287B" w:rsidRPr="00BF7118" w:rsidRDefault="002A287B" w:rsidP="000F487F">
            <w:pPr>
              <w:rPr>
                <w:rFonts w:cs="Calibri"/>
                <w:b/>
                <w:sz w:val="19"/>
                <w:szCs w:val="19"/>
              </w:rPr>
            </w:pPr>
            <w:r>
              <w:rPr>
                <w:rFonts w:cs="Calibri"/>
                <w:b/>
                <w:bCs/>
                <w:i/>
                <w:sz w:val="19"/>
                <w:szCs w:val="19"/>
              </w:rPr>
              <w:t>F</w:t>
            </w:r>
            <w:r w:rsidRPr="00BF7118">
              <w:rPr>
                <w:rFonts w:cs="Calibri"/>
                <w:b/>
                <w:bCs/>
                <w:i/>
                <w:sz w:val="19"/>
                <w:szCs w:val="19"/>
              </w:rPr>
              <w:t>ormatting &amp; Citation Handling –</w:t>
            </w:r>
            <w:r w:rsidRPr="00BF7118">
              <w:rPr>
                <w:rFonts w:cs="Calibri"/>
                <w:i/>
                <w:sz w:val="19"/>
                <w:szCs w:val="19"/>
              </w:rPr>
              <w:t xml:space="preserve"> Writes clearly and concisely using MLA style (this includes formatting and citation handling) and maintains consistency throughout. Cite relevant course materials. Cite Baran and at least two academic sources found in the Henry Madden Library (HML) holdings.</w:t>
            </w:r>
          </w:p>
        </w:tc>
        <w:tc>
          <w:tcPr>
            <w:tcW w:w="2457" w:type="dxa"/>
            <w:shd w:val="clear" w:color="auto" w:fill="F2F2F2"/>
          </w:tcPr>
          <w:p w14:paraId="6F7F6E00" w14:textId="77777777" w:rsidR="002A287B" w:rsidRPr="00BF7118" w:rsidRDefault="002A287B" w:rsidP="000F487F">
            <w:pPr>
              <w:rPr>
                <w:rFonts w:cs="Calibri"/>
                <w:bCs/>
                <w:sz w:val="19"/>
                <w:szCs w:val="19"/>
              </w:rPr>
            </w:pPr>
            <w:r w:rsidRPr="00BF7118">
              <w:rPr>
                <w:rFonts w:cs="Calibri"/>
                <w:b/>
                <w:sz w:val="19"/>
                <w:szCs w:val="19"/>
              </w:rPr>
              <w:t>Superior (10 to &gt;8 pts)</w:t>
            </w:r>
            <w:r w:rsidRPr="00BF7118">
              <w:rPr>
                <w:rFonts w:cs="Calibri"/>
                <w:sz w:val="19"/>
                <w:szCs w:val="19"/>
              </w:rPr>
              <w:t xml:space="preserve"> Response is formatted according to directions (including in-text citations and Works Cited page) with few or no errors in formatting and citation of sources. Cites relevant course materials. Cites Baran and at least two academic sources found in the HML holdings.</w:t>
            </w:r>
          </w:p>
        </w:tc>
        <w:tc>
          <w:tcPr>
            <w:tcW w:w="2457" w:type="dxa"/>
            <w:shd w:val="clear" w:color="auto" w:fill="F2F2F2"/>
          </w:tcPr>
          <w:p w14:paraId="06ABE2E0" w14:textId="77777777" w:rsidR="002A287B" w:rsidRPr="00BF7118" w:rsidRDefault="002A287B" w:rsidP="000F487F">
            <w:pPr>
              <w:rPr>
                <w:rFonts w:cs="Calibri"/>
                <w:bCs/>
                <w:sz w:val="19"/>
                <w:szCs w:val="19"/>
              </w:rPr>
            </w:pPr>
            <w:r w:rsidRPr="00BF7118">
              <w:rPr>
                <w:rFonts w:cs="Calibri"/>
                <w:b/>
                <w:sz w:val="19"/>
                <w:szCs w:val="19"/>
              </w:rPr>
              <w:t>Commendable (8 to &gt;6 pts)</w:t>
            </w:r>
            <w:r w:rsidRPr="00BF7118">
              <w:rPr>
                <w:rFonts w:cs="Calibri"/>
                <w:bCs/>
                <w:sz w:val="19"/>
                <w:szCs w:val="19"/>
              </w:rPr>
              <w:t xml:space="preserve"> </w:t>
            </w:r>
            <w:r w:rsidRPr="00BF7118">
              <w:rPr>
                <w:rFonts w:cs="Calibri"/>
                <w:sz w:val="19"/>
                <w:szCs w:val="19"/>
              </w:rPr>
              <w:t>Response is formatted mostly according to directions (including in-text citations and Works Cited page) with some errors in formatting and citation of sources. Cites relevant course materials. Cites Baran and at least two academic sources found in the HML holdings. Automatic "C" grade: Does not include in-text citations OR Works Cited page. Automatic "D" grade: Does not cite relevant course materials.</w:t>
            </w:r>
          </w:p>
        </w:tc>
        <w:tc>
          <w:tcPr>
            <w:tcW w:w="2457" w:type="dxa"/>
            <w:shd w:val="clear" w:color="auto" w:fill="F2F2F2"/>
          </w:tcPr>
          <w:p w14:paraId="0B2B5C02" w14:textId="77777777" w:rsidR="002A287B" w:rsidRPr="00BF7118" w:rsidRDefault="002A287B" w:rsidP="000F487F">
            <w:pPr>
              <w:rPr>
                <w:rFonts w:cs="Calibri"/>
                <w:b/>
                <w:bCs/>
                <w:sz w:val="19"/>
                <w:szCs w:val="19"/>
              </w:rPr>
            </w:pPr>
            <w:r w:rsidRPr="00BF7118">
              <w:rPr>
                <w:rFonts w:cs="Calibri"/>
                <w:b/>
                <w:bCs/>
                <w:sz w:val="19"/>
                <w:szCs w:val="19"/>
              </w:rPr>
              <w:t>Needs Improvement</w:t>
            </w:r>
          </w:p>
          <w:p w14:paraId="197567C9" w14:textId="77777777" w:rsidR="002A287B" w:rsidRPr="00BF7118" w:rsidRDefault="002A287B" w:rsidP="000F487F">
            <w:pPr>
              <w:rPr>
                <w:rFonts w:cs="Calibri"/>
                <w:bCs/>
                <w:sz w:val="19"/>
                <w:szCs w:val="19"/>
              </w:rPr>
            </w:pPr>
            <w:r w:rsidRPr="00BF7118">
              <w:rPr>
                <w:rFonts w:cs="Calibri"/>
                <w:b/>
                <w:bCs/>
                <w:sz w:val="19"/>
                <w:szCs w:val="19"/>
              </w:rPr>
              <w:t>(6 to &gt;0 pts)</w:t>
            </w:r>
            <w:r w:rsidRPr="00BF7118">
              <w:rPr>
                <w:rFonts w:cs="Calibri"/>
                <w:bCs/>
                <w:sz w:val="19"/>
                <w:szCs w:val="19"/>
              </w:rPr>
              <w:t xml:space="preserve"> </w:t>
            </w:r>
          </w:p>
          <w:p w14:paraId="481B4031" w14:textId="77777777" w:rsidR="002A287B" w:rsidRDefault="002A287B" w:rsidP="000F487F">
            <w:pPr>
              <w:rPr>
                <w:rFonts w:cs="Calibri"/>
                <w:sz w:val="19"/>
                <w:szCs w:val="19"/>
              </w:rPr>
            </w:pPr>
            <w:r w:rsidRPr="00BF7118">
              <w:rPr>
                <w:rFonts w:cs="Calibri"/>
                <w:sz w:val="19"/>
                <w:szCs w:val="19"/>
              </w:rPr>
              <w:t>In-text citations AND Works Cited page missing. Does not follow formatting instructions (including in-text citations and Works Cited page). Has significant and multiple errors in formatting and citation of sources. Does not cite relevant course materials. Does not cite Baran and two academic sources found in the HML holdings.</w:t>
            </w:r>
          </w:p>
          <w:p w14:paraId="587A7E27" w14:textId="77777777" w:rsidR="002A287B" w:rsidRPr="00BF7118" w:rsidRDefault="002A287B" w:rsidP="000F487F">
            <w:pPr>
              <w:rPr>
                <w:rFonts w:cs="Calibri"/>
                <w:bCs/>
                <w:sz w:val="19"/>
                <w:szCs w:val="19"/>
              </w:rPr>
            </w:pPr>
          </w:p>
        </w:tc>
      </w:tr>
    </w:tbl>
    <w:p w14:paraId="2128EE62" w14:textId="77777777" w:rsidR="008258A6" w:rsidRDefault="008258A6" w:rsidP="008258A6">
      <w:pPr>
        <w:rPr>
          <w:rFonts w:cstheme="minorHAnsi"/>
          <w:b/>
        </w:rPr>
      </w:pPr>
    </w:p>
    <w:sectPr w:rsidR="008258A6" w:rsidSect="002A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5BD61" w14:textId="77777777" w:rsidR="007777E1" w:rsidRDefault="007777E1" w:rsidP="00F5067D">
      <w:pPr>
        <w:spacing w:after="0" w:line="240" w:lineRule="auto"/>
      </w:pPr>
      <w:r>
        <w:separator/>
      </w:r>
    </w:p>
  </w:endnote>
  <w:endnote w:type="continuationSeparator" w:id="0">
    <w:p w14:paraId="08D8323A" w14:textId="77777777" w:rsidR="007777E1" w:rsidRDefault="007777E1" w:rsidP="00F5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E123" w14:textId="77777777" w:rsidR="007777E1" w:rsidRDefault="007777E1" w:rsidP="00F5067D">
      <w:pPr>
        <w:spacing w:after="0" w:line="240" w:lineRule="auto"/>
      </w:pPr>
      <w:r>
        <w:separator/>
      </w:r>
    </w:p>
  </w:footnote>
  <w:footnote w:type="continuationSeparator" w:id="0">
    <w:p w14:paraId="4DE45F3F" w14:textId="77777777" w:rsidR="007777E1" w:rsidRDefault="007777E1" w:rsidP="00F50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574"/>
    <w:multiLevelType w:val="hybridMultilevel"/>
    <w:tmpl w:val="4B42B688"/>
    <w:lvl w:ilvl="0" w:tplc="63CC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F6D37"/>
    <w:multiLevelType w:val="hybridMultilevel"/>
    <w:tmpl w:val="4178E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66100A"/>
    <w:multiLevelType w:val="hybridMultilevel"/>
    <w:tmpl w:val="2640B3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942F3"/>
    <w:multiLevelType w:val="multilevel"/>
    <w:tmpl w:val="5DE6DADE"/>
    <w:lvl w:ilvl="0">
      <w:start w:val="1"/>
      <w:numFmt w:val="bullet"/>
      <w:lvlText w:val="●"/>
      <w:lvlJc w:val="left"/>
      <w:pPr>
        <w:ind w:left="2880" w:hanging="360"/>
      </w:pPr>
      <w:rPr>
        <w:rFonts w:ascii="Noto Sans Symbols" w:eastAsia="Noto Sans Symbols" w:hAnsi="Noto Sans Symbols" w:cs="Noto Sans Symbols"/>
        <w:sz w:val="20"/>
        <w:szCs w:val="20"/>
      </w:rPr>
    </w:lvl>
    <w:lvl w:ilvl="1">
      <w:start w:val="1"/>
      <w:numFmt w:val="bullet"/>
      <w:lvlText w:val="o"/>
      <w:lvlJc w:val="left"/>
      <w:pPr>
        <w:ind w:left="3600" w:hanging="360"/>
      </w:pPr>
      <w:rPr>
        <w:rFonts w:ascii="Courier New" w:eastAsia="Courier New" w:hAnsi="Courier New" w:cs="Courier New"/>
        <w:sz w:val="20"/>
        <w:szCs w:val="20"/>
      </w:rPr>
    </w:lvl>
    <w:lvl w:ilvl="2">
      <w:start w:val="1"/>
      <w:numFmt w:val="bullet"/>
      <w:lvlText w:val="▪"/>
      <w:lvlJc w:val="left"/>
      <w:pPr>
        <w:ind w:left="4320" w:hanging="360"/>
      </w:pPr>
      <w:rPr>
        <w:rFonts w:ascii="Noto Sans Symbols" w:eastAsia="Noto Sans Symbols" w:hAnsi="Noto Sans Symbols" w:cs="Noto Sans Symbols"/>
        <w:sz w:val="20"/>
        <w:szCs w:val="20"/>
      </w:rPr>
    </w:lvl>
    <w:lvl w:ilvl="3">
      <w:start w:val="1"/>
      <w:numFmt w:val="bullet"/>
      <w:lvlText w:val="▪"/>
      <w:lvlJc w:val="left"/>
      <w:pPr>
        <w:ind w:left="5040" w:hanging="360"/>
      </w:pPr>
      <w:rPr>
        <w:rFonts w:ascii="Noto Sans Symbols" w:eastAsia="Noto Sans Symbols" w:hAnsi="Noto Sans Symbols" w:cs="Noto Sans Symbols"/>
        <w:sz w:val="20"/>
        <w:szCs w:val="20"/>
      </w:rPr>
    </w:lvl>
    <w:lvl w:ilvl="4">
      <w:start w:val="1"/>
      <w:numFmt w:val="bullet"/>
      <w:lvlText w:val="▪"/>
      <w:lvlJc w:val="left"/>
      <w:pPr>
        <w:ind w:left="5760" w:hanging="360"/>
      </w:pPr>
      <w:rPr>
        <w:rFonts w:ascii="Noto Sans Symbols" w:eastAsia="Noto Sans Symbols" w:hAnsi="Noto Sans Symbols" w:cs="Noto Sans Symbols"/>
        <w:sz w:val="20"/>
        <w:szCs w:val="20"/>
      </w:rPr>
    </w:lvl>
    <w:lvl w:ilvl="5">
      <w:start w:val="1"/>
      <w:numFmt w:val="bullet"/>
      <w:lvlText w:val="▪"/>
      <w:lvlJc w:val="left"/>
      <w:pPr>
        <w:ind w:left="6480" w:hanging="360"/>
      </w:pPr>
      <w:rPr>
        <w:rFonts w:ascii="Noto Sans Symbols" w:eastAsia="Noto Sans Symbols" w:hAnsi="Noto Sans Symbols" w:cs="Noto Sans Symbols"/>
        <w:sz w:val="20"/>
        <w:szCs w:val="20"/>
      </w:rPr>
    </w:lvl>
    <w:lvl w:ilvl="6">
      <w:start w:val="1"/>
      <w:numFmt w:val="bullet"/>
      <w:lvlText w:val="▪"/>
      <w:lvlJc w:val="left"/>
      <w:pPr>
        <w:ind w:left="7200" w:hanging="360"/>
      </w:pPr>
      <w:rPr>
        <w:rFonts w:ascii="Noto Sans Symbols" w:eastAsia="Noto Sans Symbols" w:hAnsi="Noto Sans Symbols" w:cs="Noto Sans Symbols"/>
        <w:sz w:val="20"/>
        <w:szCs w:val="20"/>
      </w:rPr>
    </w:lvl>
    <w:lvl w:ilvl="7">
      <w:start w:val="1"/>
      <w:numFmt w:val="bullet"/>
      <w:lvlText w:val="▪"/>
      <w:lvlJc w:val="left"/>
      <w:pPr>
        <w:ind w:left="7920" w:hanging="360"/>
      </w:pPr>
      <w:rPr>
        <w:rFonts w:ascii="Noto Sans Symbols" w:eastAsia="Noto Sans Symbols" w:hAnsi="Noto Sans Symbols" w:cs="Noto Sans Symbols"/>
        <w:sz w:val="20"/>
        <w:szCs w:val="20"/>
      </w:rPr>
    </w:lvl>
    <w:lvl w:ilvl="8">
      <w:start w:val="1"/>
      <w:numFmt w:val="bullet"/>
      <w:lvlText w:val="▪"/>
      <w:lvlJc w:val="left"/>
      <w:pPr>
        <w:ind w:left="8640" w:hanging="360"/>
      </w:pPr>
      <w:rPr>
        <w:rFonts w:ascii="Noto Sans Symbols" w:eastAsia="Noto Sans Symbols" w:hAnsi="Noto Sans Symbols" w:cs="Noto Sans Symbols"/>
        <w:sz w:val="20"/>
        <w:szCs w:val="20"/>
      </w:rPr>
    </w:lvl>
  </w:abstractNum>
  <w:abstractNum w:abstractNumId="4" w15:restartNumberingAfterBreak="0">
    <w:nsid w:val="3FD1717F"/>
    <w:multiLevelType w:val="hybridMultilevel"/>
    <w:tmpl w:val="A582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05DEF"/>
    <w:multiLevelType w:val="hybridMultilevel"/>
    <w:tmpl w:val="5A94786A"/>
    <w:lvl w:ilvl="0" w:tplc="E0A83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B1EEC"/>
    <w:multiLevelType w:val="multilevel"/>
    <w:tmpl w:val="54C6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7A7964"/>
    <w:multiLevelType w:val="hybridMultilevel"/>
    <w:tmpl w:val="8B2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F76AF"/>
    <w:multiLevelType w:val="multilevel"/>
    <w:tmpl w:val="54C6A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5528010">
    <w:abstractNumId w:val="6"/>
  </w:num>
  <w:num w:numId="2" w16cid:durableId="1232426714">
    <w:abstractNumId w:val="5"/>
  </w:num>
  <w:num w:numId="3" w16cid:durableId="429356664">
    <w:abstractNumId w:val="4"/>
  </w:num>
  <w:num w:numId="4" w16cid:durableId="966663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0849175">
    <w:abstractNumId w:val="9"/>
  </w:num>
  <w:num w:numId="6" w16cid:durableId="1722359348">
    <w:abstractNumId w:val="7"/>
  </w:num>
  <w:num w:numId="7" w16cid:durableId="380175147">
    <w:abstractNumId w:val="0"/>
  </w:num>
  <w:num w:numId="8" w16cid:durableId="761609846">
    <w:abstractNumId w:val="2"/>
  </w:num>
  <w:num w:numId="9" w16cid:durableId="368460564">
    <w:abstractNumId w:val="3"/>
  </w:num>
  <w:num w:numId="10" w16cid:durableId="513886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53794"/>
    <w:rsid w:val="00061BEB"/>
    <w:rsid w:val="00095BE5"/>
    <w:rsid w:val="000A2350"/>
    <w:rsid w:val="00115ACD"/>
    <w:rsid w:val="00143C7D"/>
    <w:rsid w:val="001A5344"/>
    <w:rsid w:val="001C0C36"/>
    <w:rsid w:val="00252D17"/>
    <w:rsid w:val="00255044"/>
    <w:rsid w:val="00294B35"/>
    <w:rsid w:val="002A287B"/>
    <w:rsid w:val="002D2AA1"/>
    <w:rsid w:val="002D5A39"/>
    <w:rsid w:val="002F0A0F"/>
    <w:rsid w:val="00386213"/>
    <w:rsid w:val="003B2E0B"/>
    <w:rsid w:val="00440AC0"/>
    <w:rsid w:val="004727B2"/>
    <w:rsid w:val="004925B7"/>
    <w:rsid w:val="004C3919"/>
    <w:rsid w:val="004F3EC5"/>
    <w:rsid w:val="00537657"/>
    <w:rsid w:val="005C49AE"/>
    <w:rsid w:val="006127AC"/>
    <w:rsid w:val="00635531"/>
    <w:rsid w:val="006464C6"/>
    <w:rsid w:val="006471FE"/>
    <w:rsid w:val="006A3FEB"/>
    <w:rsid w:val="006C4BC1"/>
    <w:rsid w:val="006C5D9F"/>
    <w:rsid w:val="006D0CDF"/>
    <w:rsid w:val="006E51D0"/>
    <w:rsid w:val="0074718C"/>
    <w:rsid w:val="00753922"/>
    <w:rsid w:val="00760FF7"/>
    <w:rsid w:val="00766B7F"/>
    <w:rsid w:val="007777E1"/>
    <w:rsid w:val="0079041A"/>
    <w:rsid w:val="00796234"/>
    <w:rsid w:val="007A0746"/>
    <w:rsid w:val="008258A6"/>
    <w:rsid w:val="008F694A"/>
    <w:rsid w:val="00902584"/>
    <w:rsid w:val="00903ABB"/>
    <w:rsid w:val="009C473D"/>
    <w:rsid w:val="00A02CA0"/>
    <w:rsid w:val="00B170DB"/>
    <w:rsid w:val="00B54BAF"/>
    <w:rsid w:val="00B94B49"/>
    <w:rsid w:val="00BC19F3"/>
    <w:rsid w:val="00C4785D"/>
    <w:rsid w:val="00C5316F"/>
    <w:rsid w:val="00CB6AB0"/>
    <w:rsid w:val="00D15182"/>
    <w:rsid w:val="00D973A8"/>
    <w:rsid w:val="00DB28A8"/>
    <w:rsid w:val="00E259DE"/>
    <w:rsid w:val="00E56C83"/>
    <w:rsid w:val="00E87913"/>
    <w:rsid w:val="00EE6105"/>
    <w:rsid w:val="00EF0C29"/>
    <w:rsid w:val="00F5067D"/>
    <w:rsid w:val="00F6446F"/>
    <w:rsid w:val="00F71566"/>
    <w:rsid w:val="00F807AB"/>
    <w:rsid w:val="00F82278"/>
    <w:rsid w:val="00F92879"/>
    <w:rsid w:val="00FB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67D0"/>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Spacing">
    <w:name w:val="No Spacing"/>
    <w:uiPriority w:val="1"/>
    <w:qFormat/>
    <w:rsid w:val="00766B7F"/>
    <w:pPr>
      <w:spacing w:after="0" w:line="240" w:lineRule="auto"/>
    </w:pPr>
    <w:rPr>
      <w:rFonts w:eastAsiaTheme="minorEastAsia"/>
    </w:rPr>
  </w:style>
  <w:style w:type="paragraph" w:styleId="Header">
    <w:name w:val="header"/>
    <w:basedOn w:val="Normal"/>
    <w:link w:val="HeaderChar"/>
    <w:rsid w:val="00F506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067D"/>
    <w:rPr>
      <w:rFonts w:ascii="Times New Roman" w:eastAsia="Times New Roman" w:hAnsi="Times New Roman" w:cs="Times New Roman"/>
      <w:sz w:val="24"/>
      <w:szCs w:val="24"/>
    </w:rPr>
  </w:style>
  <w:style w:type="paragraph" w:styleId="Footer">
    <w:name w:val="footer"/>
    <w:basedOn w:val="Normal"/>
    <w:link w:val="FooterChar"/>
    <w:uiPriority w:val="99"/>
    <w:rsid w:val="00F506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067D"/>
    <w:rPr>
      <w:rFonts w:ascii="Times New Roman" w:eastAsia="Times New Roman" w:hAnsi="Times New Roman" w:cs="Times New Roman"/>
      <w:sz w:val="24"/>
      <w:szCs w:val="24"/>
    </w:rPr>
  </w:style>
  <w:style w:type="character" w:styleId="PageNumber">
    <w:name w:val="page number"/>
    <w:basedOn w:val="DefaultParagraphFont"/>
    <w:rsid w:val="00F5067D"/>
  </w:style>
  <w:style w:type="table" w:styleId="TableGrid">
    <w:name w:val="Table Grid"/>
    <w:basedOn w:val="TableNormal"/>
    <w:uiPriority w:val="39"/>
    <w:rsid w:val="006E5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258A6"/>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Pierce</dc:creator>
  <cp:keywords/>
  <dc:description/>
  <cp:lastModifiedBy>Doug Fraleigh</cp:lastModifiedBy>
  <cp:revision>2</cp:revision>
  <dcterms:created xsi:type="dcterms:W3CDTF">2022-09-08T22:49:00Z</dcterms:created>
  <dcterms:modified xsi:type="dcterms:W3CDTF">2022-09-08T22:49:00Z</dcterms:modified>
</cp:coreProperties>
</file>